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C1D5A" w:rsidRDefault="00AC1D5A">
      <w:pPr>
        <w:pStyle w:val="newncpi0"/>
        <w:jc w:val="center"/>
      </w:pPr>
      <w:bookmarkStart w:id="0" w:name="_GoBack"/>
      <w:bookmarkEnd w:id="0"/>
      <w:r>
        <w:rPr>
          <w:rStyle w:val="name"/>
        </w:rPr>
        <w:t>ПРИКАЗ </w:t>
      </w:r>
      <w:r>
        <w:rPr>
          <w:rStyle w:val="promulgator"/>
        </w:rPr>
        <w:t>БЕЛОРУССКОГО БЮРО ПО ТРАНСПОРТНОМУ СТРАХОВАНИЮ</w:t>
      </w:r>
    </w:p>
    <w:p w:rsidR="00AC1D5A" w:rsidRDefault="00AC1D5A">
      <w:pPr>
        <w:pStyle w:val="newncpi"/>
        <w:ind w:firstLine="0"/>
        <w:jc w:val="center"/>
      </w:pPr>
      <w:r>
        <w:rPr>
          <w:rStyle w:val="datepr"/>
        </w:rPr>
        <w:t>2 июня 2023 г.</w:t>
      </w:r>
      <w:r>
        <w:rPr>
          <w:rStyle w:val="number"/>
        </w:rPr>
        <w:t xml:space="preserve"> № 18-од</w:t>
      </w:r>
    </w:p>
    <w:p w:rsidR="00AC1D5A" w:rsidRDefault="00AC1D5A">
      <w:pPr>
        <w:pStyle w:val="titlencpi"/>
      </w:pPr>
      <w:r>
        <w:t>Об установлении среднеарифметической стоимости одного нормо-часа работ по восстановлению транспортных средств для целей обязательного страхования гражданской ответственности владельцев транспортных средств</w:t>
      </w:r>
    </w:p>
    <w:p w:rsidR="00AC1D5A" w:rsidRDefault="00AC1D5A">
      <w:pPr>
        <w:pStyle w:val="preamble"/>
      </w:pPr>
      <w:r>
        <w:t>На основании части второй пункта 187 Положения о страховой деятельности в Республике Беларусь, утвержденного Указом Президента Республики Беларусь от 25 августа 2006 г. № 530, и абзаца одиннадцатого пункта 11 Устава Белорусского бюро по транспортному страхованию, утвержденного Указом Президента Республики Беларусь от 1 декабря 1999 г. № 701, ПРИКАЗЫВАЮ:</w:t>
      </w:r>
    </w:p>
    <w:p w:rsidR="00AC1D5A" w:rsidRDefault="00AC1D5A">
      <w:pPr>
        <w:pStyle w:val="point"/>
      </w:pPr>
      <w:r>
        <w:t>1. Установить среднеарифметическую стоимость одного нормо-часа работ по восстановлению транспортных средств для целей обязательного страхования гражданской ответственности владельцев транспортных средств согласно приложению.</w:t>
      </w:r>
    </w:p>
    <w:p w:rsidR="00AC1D5A" w:rsidRDefault="00AC1D5A">
      <w:pPr>
        <w:pStyle w:val="point"/>
      </w:pPr>
      <w:r>
        <w:t>2. Признать утратившим силу приказ Белорусского бюро по транспортному страхованию от 9 февраля 2022 г. № 6-од «Об установлении среднеарифметической стоимости одного нормо-часа работ по восстановлению транспортных средств для целей обязательного страхования гражданской ответственности владельцев транспортных средств».</w:t>
      </w:r>
    </w:p>
    <w:p w:rsidR="00AC1D5A" w:rsidRDefault="00AC1D5A">
      <w:pPr>
        <w:pStyle w:val="point"/>
      </w:pPr>
      <w:r>
        <w:t>3. Настоящий приказ вступает в силу с 1 июля 2023 г.</w:t>
      </w:r>
    </w:p>
    <w:p w:rsidR="00AC1D5A" w:rsidRDefault="00AC1D5A">
      <w:pPr>
        <w:pStyle w:val="newncpi"/>
      </w:pPr>
      <w:r>
        <w:t> 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678"/>
        <w:gridCol w:w="4679"/>
      </w:tblGrid>
      <w:tr w:rsidR="00AC1D5A">
        <w:tc>
          <w:tcPr>
            <w:tcW w:w="2500" w:type="pct"/>
            <w:tcMar>
              <w:top w:w="0" w:type="dxa"/>
              <w:left w:w="6" w:type="dxa"/>
              <w:bottom w:w="0" w:type="dxa"/>
              <w:right w:w="6" w:type="dxa"/>
            </w:tcMar>
            <w:vAlign w:val="bottom"/>
            <w:hideMark/>
          </w:tcPr>
          <w:p w:rsidR="00AC1D5A" w:rsidRDefault="00AC1D5A">
            <w:pPr>
              <w:pStyle w:val="newncpi0"/>
              <w:jc w:val="left"/>
            </w:pPr>
            <w:r>
              <w:rPr>
                <w:rStyle w:val="post"/>
              </w:rPr>
              <w:t>Генеральный директор</w:t>
            </w:r>
          </w:p>
        </w:tc>
        <w:tc>
          <w:tcPr>
            <w:tcW w:w="2500" w:type="pct"/>
            <w:tcMar>
              <w:top w:w="0" w:type="dxa"/>
              <w:left w:w="6" w:type="dxa"/>
              <w:bottom w:w="0" w:type="dxa"/>
              <w:right w:w="6" w:type="dxa"/>
            </w:tcMar>
            <w:vAlign w:val="bottom"/>
            <w:hideMark/>
          </w:tcPr>
          <w:p w:rsidR="00AC1D5A" w:rsidRDefault="00AC1D5A">
            <w:pPr>
              <w:pStyle w:val="newncpi0"/>
              <w:jc w:val="right"/>
            </w:pPr>
            <w:proofErr w:type="spellStart"/>
            <w:r>
              <w:rPr>
                <w:rStyle w:val="pers"/>
              </w:rPr>
              <w:t>А.П.Авсейко</w:t>
            </w:r>
            <w:proofErr w:type="spellEnd"/>
          </w:p>
        </w:tc>
      </w:tr>
    </w:tbl>
    <w:p w:rsidR="00AC1D5A" w:rsidRDefault="00AC1D5A">
      <w:pPr>
        <w:pStyle w:val="newncpi0"/>
      </w:pPr>
      <w:r>
        <w:t> 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239"/>
        <w:gridCol w:w="3118"/>
      </w:tblGrid>
      <w:tr w:rsidR="00AC1D5A">
        <w:tc>
          <w:tcPr>
            <w:tcW w:w="3334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AC1D5A" w:rsidRDefault="00AC1D5A">
            <w:pPr>
              <w:pStyle w:val="newncpi"/>
            </w:pPr>
            <w:r>
              <w:t> </w:t>
            </w:r>
          </w:p>
        </w:tc>
        <w:tc>
          <w:tcPr>
            <w:tcW w:w="1666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AC1D5A" w:rsidRDefault="00AC1D5A">
            <w:pPr>
              <w:pStyle w:val="append1"/>
            </w:pPr>
            <w:r>
              <w:t>Приложение</w:t>
            </w:r>
          </w:p>
          <w:p w:rsidR="00AC1D5A" w:rsidRDefault="00AC1D5A">
            <w:pPr>
              <w:pStyle w:val="append"/>
            </w:pPr>
            <w:r>
              <w:t xml:space="preserve">к приказу </w:t>
            </w:r>
            <w:r>
              <w:br/>
              <w:t xml:space="preserve">Белорусского бюро </w:t>
            </w:r>
            <w:r>
              <w:br/>
              <w:t>по транспортному страхованию</w:t>
            </w:r>
            <w:r>
              <w:br/>
              <w:t xml:space="preserve">02.06.2023 № 18-од </w:t>
            </w:r>
          </w:p>
        </w:tc>
      </w:tr>
    </w:tbl>
    <w:p w:rsidR="00AC1D5A" w:rsidRDefault="00AC1D5A">
      <w:pPr>
        <w:pStyle w:val="titlep"/>
        <w:jc w:val="left"/>
      </w:pPr>
      <w:r>
        <w:t xml:space="preserve">СРЕДНЕАРИФМЕТИЧЕСКАЯ СТОИМОСТЬ </w:t>
      </w:r>
      <w:r>
        <w:br/>
        <w:t>одного нормо-часа работ по восстановлению транспортных средств для целей обязательного страхования гражданской ответственности владельцев транспортных средств (по данным на май 2023 года)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29"/>
        <w:gridCol w:w="4429"/>
        <w:gridCol w:w="1983"/>
        <w:gridCol w:w="1275"/>
        <w:gridCol w:w="1131"/>
      </w:tblGrid>
      <w:tr w:rsidR="00AC1D5A">
        <w:trPr>
          <w:trHeight w:val="240"/>
        </w:trPr>
        <w:tc>
          <w:tcPr>
            <w:tcW w:w="283" w:type="pct"/>
            <w:vMerge w:val="restart"/>
            <w:tcBorders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AC1D5A" w:rsidRDefault="00AC1D5A">
            <w:pPr>
              <w:pStyle w:val="table10"/>
              <w:jc w:val="center"/>
            </w:pPr>
            <w:r>
              <w:t>№</w:t>
            </w:r>
            <w:r>
              <w:br/>
              <w:t>п/п</w:t>
            </w:r>
          </w:p>
        </w:tc>
        <w:tc>
          <w:tcPr>
            <w:tcW w:w="2369" w:type="pct"/>
            <w:vMerge w:val="restar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AC1D5A" w:rsidRDefault="00AC1D5A">
            <w:pPr>
              <w:pStyle w:val="table10"/>
              <w:jc w:val="center"/>
            </w:pPr>
            <w:r>
              <w:t>Категория транспортного средства</w:t>
            </w:r>
          </w:p>
        </w:tc>
        <w:tc>
          <w:tcPr>
            <w:tcW w:w="1061" w:type="pct"/>
            <w:vMerge w:val="restar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AC1D5A" w:rsidRDefault="00AC1D5A">
            <w:pPr>
              <w:pStyle w:val="table10"/>
              <w:jc w:val="center"/>
            </w:pPr>
            <w:r>
              <w:t>Срок эксплуатации транспортного средства</w:t>
            </w:r>
          </w:p>
        </w:tc>
        <w:tc>
          <w:tcPr>
            <w:tcW w:w="1287" w:type="pct"/>
            <w:gridSpan w:val="2"/>
            <w:tcBorders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AC1D5A" w:rsidRDefault="00AC1D5A">
            <w:pPr>
              <w:pStyle w:val="table10"/>
              <w:jc w:val="center"/>
            </w:pPr>
            <w:r>
              <w:t>Стоимость нормо-часа, руб.</w:t>
            </w:r>
          </w:p>
        </w:tc>
      </w:tr>
      <w:tr w:rsidR="00AC1D5A">
        <w:trPr>
          <w:trHeight w:val="240"/>
        </w:trPr>
        <w:tc>
          <w:tcPr>
            <w:tcW w:w="0" w:type="auto"/>
            <w:vMerge/>
            <w:tcBorders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1D5A" w:rsidRDefault="00AC1D5A">
            <w:pPr>
              <w:rPr>
                <w:rFonts w:eastAsiaTheme="minorEastAsia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1D5A" w:rsidRDefault="00AC1D5A">
            <w:pPr>
              <w:rPr>
                <w:rFonts w:eastAsiaTheme="minorEastAsia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1D5A" w:rsidRDefault="00AC1D5A">
            <w:pPr>
              <w:rPr>
                <w:rFonts w:eastAsiaTheme="minorEastAsia"/>
                <w:sz w:val="20"/>
                <w:szCs w:val="20"/>
              </w:rPr>
            </w:pPr>
          </w:p>
        </w:tc>
        <w:tc>
          <w:tcPr>
            <w:tcW w:w="6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AC1D5A" w:rsidRDefault="00AC1D5A">
            <w:pPr>
              <w:pStyle w:val="table10"/>
              <w:jc w:val="center"/>
            </w:pPr>
            <w:r>
              <w:t>для г. Минска и Минского района</w:t>
            </w:r>
          </w:p>
        </w:tc>
        <w:tc>
          <w:tcPr>
            <w:tcW w:w="6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AC1D5A" w:rsidRDefault="00AC1D5A">
            <w:pPr>
              <w:pStyle w:val="table10"/>
              <w:jc w:val="center"/>
            </w:pPr>
            <w:r>
              <w:t>для областей Республики Беларусь</w:t>
            </w:r>
          </w:p>
        </w:tc>
      </w:tr>
      <w:tr w:rsidR="00AC1D5A">
        <w:trPr>
          <w:trHeight w:val="240"/>
        </w:trPr>
        <w:tc>
          <w:tcPr>
            <w:tcW w:w="283" w:type="pct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AC1D5A" w:rsidRDefault="00AC1D5A">
            <w:pPr>
              <w:pStyle w:val="table10"/>
              <w:jc w:val="center"/>
            </w:pPr>
            <w:r>
              <w:t>1</w:t>
            </w:r>
          </w:p>
        </w:tc>
        <w:tc>
          <w:tcPr>
            <w:tcW w:w="236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AC1D5A" w:rsidRDefault="00AC1D5A">
            <w:pPr>
              <w:pStyle w:val="table10"/>
            </w:pPr>
            <w:r>
              <w:t xml:space="preserve">Легковые автомобили, грузовые автомобили и автобусы полной массой до 3,5 т включительно и прицепы к ним, </w:t>
            </w:r>
            <w:proofErr w:type="spellStart"/>
            <w:r>
              <w:t>квадрициклы</w:t>
            </w:r>
            <w:proofErr w:type="spellEnd"/>
            <w:r>
              <w:t xml:space="preserve"> (мотоколяски), </w:t>
            </w:r>
            <w:proofErr w:type="spellStart"/>
            <w:r>
              <w:t>квадроциклы</w:t>
            </w:r>
            <w:proofErr w:type="spellEnd"/>
            <w:r>
              <w:t xml:space="preserve">, мотоциклы, мотоколяски, мотороллеры и мопеды всех марок </w:t>
            </w:r>
          </w:p>
        </w:tc>
        <w:tc>
          <w:tcPr>
            <w:tcW w:w="10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AC1D5A" w:rsidRDefault="00AC1D5A">
            <w:pPr>
              <w:pStyle w:val="table10"/>
              <w:jc w:val="center"/>
            </w:pPr>
            <w:r>
              <w:t>до 5 лет включительно</w:t>
            </w:r>
          </w:p>
        </w:tc>
        <w:tc>
          <w:tcPr>
            <w:tcW w:w="68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AC1D5A" w:rsidRDefault="00AC1D5A">
            <w:pPr>
              <w:pStyle w:val="table10"/>
              <w:jc w:val="center"/>
            </w:pPr>
            <w:r>
              <w:t>45,15</w:t>
            </w:r>
          </w:p>
        </w:tc>
        <w:tc>
          <w:tcPr>
            <w:tcW w:w="6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AC1D5A" w:rsidRDefault="00AC1D5A">
            <w:pPr>
              <w:pStyle w:val="table10"/>
              <w:jc w:val="center"/>
            </w:pPr>
            <w:r>
              <w:t>42,21</w:t>
            </w:r>
          </w:p>
        </w:tc>
      </w:tr>
      <w:tr w:rsidR="00AC1D5A">
        <w:trPr>
          <w:trHeight w:val="240"/>
        </w:trPr>
        <w:tc>
          <w:tcPr>
            <w:tcW w:w="0" w:type="auto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1D5A" w:rsidRDefault="00AC1D5A">
            <w:pPr>
              <w:rPr>
                <w:rFonts w:eastAsiaTheme="minorEastAsia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1D5A" w:rsidRDefault="00AC1D5A">
            <w:pPr>
              <w:rPr>
                <w:rFonts w:eastAsiaTheme="minorEastAsia"/>
                <w:sz w:val="20"/>
                <w:szCs w:val="20"/>
              </w:rPr>
            </w:pPr>
          </w:p>
        </w:tc>
        <w:tc>
          <w:tcPr>
            <w:tcW w:w="10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AC1D5A" w:rsidRDefault="00AC1D5A">
            <w:pPr>
              <w:pStyle w:val="table10"/>
              <w:jc w:val="center"/>
            </w:pPr>
            <w:r>
              <w:t>от 5 до 10 лет включительно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1D5A" w:rsidRDefault="00AC1D5A">
            <w:pPr>
              <w:rPr>
                <w:rFonts w:eastAsiaTheme="minorEastAsia"/>
                <w:sz w:val="20"/>
                <w:szCs w:val="20"/>
              </w:rPr>
            </w:pPr>
          </w:p>
        </w:tc>
        <w:tc>
          <w:tcPr>
            <w:tcW w:w="6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AC1D5A" w:rsidRDefault="00AC1D5A">
            <w:pPr>
              <w:pStyle w:val="table10"/>
              <w:jc w:val="center"/>
            </w:pPr>
            <w:r>
              <w:t>37,49</w:t>
            </w:r>
          </w:p>
        </w:tc>
      </w:tr>
      <w:tr w:rsidR="00AC1D5A">
        <w:trPr>
          <w:trHeight w:val="240"/>
        </w:trPr>
        <w:tc>
          <w:tcPr>
            <w:tcW w:w="0" w:type="auto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1D5A" w:rsidRDefault="00AC1D5A">
            <w:pPr>
              <w:rPr>
                <w:rFonts w:eastAsiaTheme="minorEastAsia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1D5A" w:rsidRDefault="00AC1D5A">
            <w:pPr>
              <w:rPr>
                <w:rFonts w:eastAsiaTheme="minorEastAsia"/>
                <w:sz w:val="20"/>
                <w:szCs w:val="20"/>
              </w:rPr>
            </w:pPr>
          </w:p>
        </w:tc>
        <w:tc>
          <w:tcPr>
            <w:tcW w:w="10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AC1D5A" w:rsidRDefault="00AC1D5A">
            <w:pPr>
              <w:pStyle w:val="table10"/>
              <w:jc w:val="center"/>
            </w:pPr>
            <w:r>
              <w:t>свыше 10 лет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1D5A" w:rsidRDefault="00AC1D5A">
            <w:pPr>
              <w:rPr>
                <w:rFonts w:eastAsiaTheme="minorEastAsia"/>
                <w:sz w:val="20"/>
                <w:szCs w:val="20"/>
              </w:rPr>
            </w:pPr>
          </w:p>
        </w:tc>
        <w:tc>
          <w:tcPr>
            <w:tcW w:w="6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AC1D5A" w:rsidRDefault="00AC1D5A">
            <w:pPr>
              <w:pStyle w:val="table10"/>
              <w:jc w:val="center"/>
            </w:pPr>
            <w:r>
              <w:t>35,80</w:t>
            </w:r>
          </w:p>
        </w:tc>
      </w:tr>
      <w:tr w:rsidR="00AC1D5A">
        <w:trPr>
          <w:trHeight w:val="240"/>
        </w:trPr>
        <w:tc>
          <w:tcPr>
            <w:tcW w:w="28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AC1D5A" w:rsidRDefault="00AC1D5A">
            <w:pPr>
              <w:pStyle w:val="table10"/>
              <w:jc w:val="center"/>
            </w:pPr>
            <w:r>
              <w:t>2</w:t>
            </w:r>
          </w:p>
        </w:tc>
        <w:tc>
          <w:tcPr>
            <w:tcW w:w="23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AC1D5A" w:rsidRDefault="00AC1D5A">
            <w:pPr>
              <w:pStyle w:val="table10"/>
            </w:pPr>
            <w:r>
              <w:t xml:space="preserve">Грузовые автомобили, прицепы и полуприцепы, автобусы полной массой свыше 3,5 т, троллейбусы марок стран бывшего СССР* и КНР </w:t>
            </w:r>
          </w:p>
        </w:tc>
        <w:tc>
          <w:tcPr>
            <w:tcW w:w="10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AC1D5A" w:rsidRDefault="00AC1D5A">
            <w:pPr>
              <w:pStyle w:val="table10"/>
              <w:jc w:val="center"/>
            </w:pPr>
            <w:r>
              <w:t>любой</w:t>
            </w:r>
          </w:p>
        </w:tc>
        <w:tc>
          <w:tcPr>
            <w:tcW w:w="128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AC1D5A" w:rsidRDefault="00AC1D5A">
            <w:pPr>
              <w:pStyle w:val="table10"/>
              <w:jc w:val="center"/>
            </w:pPr>
            <w:r>
              <w:t>35,73</w:t>
            </w:r>
          </w:p>
        </w:tc>
      </w:tr>
      <w:tr w:rsidR="00AC1D5A">
        <w:trPr>
          <w:trHeight w:val="675"/>
        </w:trPr>
        <w:tc>
          <w:tcPr>
            <w:tcW w:w="28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AC1D5A" w:rsidRDefault="00AC1D5A">
            <w:pPr>
              <w:pStyle w:val="table10"/>
              <w:jc w:val="center"/>
            </w:pPr>
            <w:r>
              <w:t>3</w:t>
            </w:r>
          </w:p>
        </w:tc>
        <w:tc>
          <w:tcPr>
            <w:tcW w:w="23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AC1D5A" w:rsidRDefault="00AC1D5A">
            <w:pPr>
              <w:pStyle w:val="table10"/>
            </w:pPr>
            <w:r>
              <w:t xml:space="preserve">Грузовые автомобили, прицепы и полуприцепы, автобусы полной массой свыше 3,5 т, троллейбусы марок стран дальнего зарубежья </w:t>
            </w:r>
          </w:p>
        </w:tc>
        <w:tc>
          <w:tcPr>
            <w:tcW w:w="106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AC1D5A" w:rsidRDefault="00AC1D5A">
            <w:pPr>
              <w:pStyle w:val="table10"/>
              <w:jc w:val="center"/>
            </w:pPr>
            <w:r>
              <w:t>любой</w:t>
            </w:r>
          </w:p>
        </w:tc>
        <w:tc>
          <w:tcPr>
            <w:tcW w:w="1287" w:type="pct"/>
            <w:gridSpan w:val="2"/>
            <w:tcBorders>
              <w:top w:val="single" w:sz="4" w:space="0" w:color="auto"/>
              <w:lef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AC1D5A" w:rsidRDefault="00AC1D5A">
            <w:pPr>
              <w:pStyle w:val="table10"/>
              <w:jc w:val="center"/>
            </w:pPr>
            <w:r>
              <w:t>38,70</w:t>
            </w:r>
          </w:p>
        </w:tc>
      </w:tr>
    </w:tbl>
    <w:p w:rsidR="00AC1D5A" w:rsidRDefault="00AC1D5A">
      <w:pPr>
        <w:pStyle w:val="newncpi"/>
      </w:pPr>
      <w:r>
        <w:t> </w:t>
      </w:r>
    </w:p>
    <w:p w:rsidR="00AC1D5A" w:rsidRDefault="00AC1D5A">
      <w:pPr>
        <w:pStyle w:val="snoskiline"/>
      </w:pPr>
      <w:r>
        <w:t>______________________________</w:t>
      </w:r>
    </w:p>
    <w:p w:rsidR="00AC1D5A" w:rsidRDefault="00AC1D5A">
      <w:pPr>
        <w:pStyle w:val="snoski"/>
        <w:spacing w:after="240"/>
        <w:ind w:firstLine="567"/>
      </w:pPr>
      <w:r>
        <w:lastRenderedPageBreak/>
        <w:t xml:space="preserve">* Транспортное средство производства стран бывшего СССР марки изготовителя страны дальнего зарубежья (БМВ – Россия, ДЭУ – Узбекистан, Форд, </w:t>
      </w:r>
      <w:proofErr w:type="spellStart"/>
      <w:r>
        <w:t>Саманд</w:t>
      </w:r>
      <w:proofErr w:type="spellEnd"/>
      <w:r>
        <w:t> – Беларусь и т.п.) считать транспортным средством производства страны дальнего зарубежья.</w:t>
      </w:r>
    </w:p>
    <w:p w:rsidR="00AC1D5A" w:rsidRDefault="00AC1D5A">
      <w:pPr>
        <w:pStyle w:val="comment"/>
      </w:pPr>
      <w:r>
        <w:t>Примечание. Среднеарифметическая стоимость одного нормо-часа работ определена для всех типов ремонтно-восстановительных работ.</w:t>
      </w:r>
    </w:p>
    <w:p w:rsidR="00AC1D5A" w:rsidRDefault="00AC1D5A">
      <w:pPr>
        <w:pStyle w:val="newncpi"/>
      </w:pPr>
      <w:r>
        <w:t> </w:t>
      </w:r>
    </w:p>
    <w:p w:rsidR="000472C3" w:rsidRDefault="000472C3"/>
    <w:sectPr w:rsidR="000472C3" w:rsidSect="00AC1D5A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134" w:right="1133" w:bottom="1134" w:left="1416" w:header="280" w:footer="1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800C8" w:rsidRDefault="001800C8" w:rsidP="00AC1D5A">
      <w:pPr>
        <w:spacing w:after="0" w:line="240" w:lineRule="auto"/>
      </w:pPr>
      <w:r>
        <w:separator/>
      </w:r>
    </w:p>
  </w:endnote>
  <w:endnote w:type="continuationSeparator" w:id="0">
    <w:p w:rsidR="001800C8" w:rsidRDefault="001800C8" w:rsidP="00AC1D5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C1D5A" w:rsidRDefault="00AC1D5A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C1D5A" w:rsidRDefault="00AC1D5A">
    <w:pPr>
      <w:pStyle w:val="a5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a8"/>
      <w:tblW w:w="0" w:type="auto"/>
      <w:tblBorders>
        <w:left w:val="none" w:sz="0" w:space="0" w:color="auto"/>
        <w:bottom w:val="none" w:sz="0" w:space="0" w:color="auto"/>
        <w:right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2256"/>
      <w:gridCol w:w="7101"/>
    </w:tblGrid>
    <w:tr w:rsidR="00AC1D5A" w:rsidTr="00AC1D5A">
      <w:tc>
        <w:tcPr>
          <w:tcW w:w="1800" w:type="dxa"/>
          <w:shd w:val="clear" w:color="auto" w:fill="auto"/>
          <w:vAlign w:val="center"/>
        </w:tcPr>
        <w:p w:rsidR="00AC1D5A" w:rsidRDefault="00AC1D5A">
          <w:pPr>
            <w:pStyle w:val="a5"/>
          </w:pPr>
          <w:r>
            <w:rPr>
              <w:noProof/>
              <w:lang w:eastAsia="ru-RU"/>
            </w:rPr>
            <w:drawing>
              <wp:inline distT="0" distB="0" distL="0" distR="0">
                <wp:extent cx="1292352" cy="390144"/>
                <wp:effectExtent l="0" t="0" r="3175" b="0"/>
                <wp:docPr id="1" name="Рисунок 1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292352" cy="390144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547" w:type="dxa"/>
          <w:shd w:val="clear" w:color="auto" w:fill="auto"/>
          <w:vAlign w:val="center"/>
        </w:tcPr>
        <w:p w:rsidR="00AC1D5A" w:rsidRDefault="00AC1D5A">
          <w:pPr>
            <w:pStyle w:val="a5"/>
            <w:rPr>
              <w:rFonts w:ascii="Times New Roman" w:hAnsi="Times New Roman" w:cs="Times New Roman"/>
              <w:i/>
              <w:sz w:val="24"/>
            </w:rPr>
          </w:pPr>
          <w:r>
            <w:rPr>
              <w:rFonts w:ascii="Times New Roman" w:hAnsi="Times New Roman" w:cs="Times New Roman"/>
              <w:i/>
              <w:sz w:val="24"/>
            </w:rPr>
            <w:t>Официальная правовая информация</w:t>
          </w:r>
        </w:p>
        <w:p w:rsidR="00AC1D5A" w:rsidRDefault="00AC1D5A">
          <w:pPr>
            <w:pStyle w:val="a5"/>
            <w:rPr>
              <w:rFonts w:ascii="Times New Roman" w:hAnsi="Times New Roman" w:cs="Times New Roman"/>
              <w:i/>
              <w:sz w:val="24"/>
            </w:rPr>
          </w:pPr>
          <w:r>
            <w:rPr>
              <w:rFonts w:ascii="Times New Roman" w:hAnsi="Times New Roman" w:cs="Times New Roman"/>
              <w:i/>
              <w:sz w:val="24"/>
            </w:rPr>
            <w:t>Информационно-поисковая система "ЭТАЛОН", 04.06.2024</w:t>
          </w:r>
        </w:p>
        <w:p w:rsidR="00AC1D5A" w:rsidRPr="00AC1D5A" w:rsidRDefault="00AC1D5A">
          <w:pPr>
            <w:pStyle w:val="a5"/>
            <w:rPr>
              <w:rFonts w:ascii="Times New Roman" w:hAnsi="Times New Roman" w:cs="Times New Roman"/>
              <w:i/>
              <w:sz w:val="24"/>
            </w:rPr>
          </w:pPr>
          <w:r>
            <w:rPr>
              <w:rFonts w:ascii="Times New Roman" w:hAnsi="Times New Roman" w:cs="Times New Roman"/>
              <w:i/>
              <w:sz w:val="24"/>
            </w:rPr>
            <w:t>Национальный центр правовой информации Республики Беларусь</w:t>
          </w:r>
        </w:p>
      </w:tc>
    </w:tr>
  </w:tbl>
  <w:p w:rsidR="00AC1D5A" w:rsidRDefault="00AC1D5A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800C8" w:rsidRDefault="001800C8" w:rsidP="00AC1D5A">
      <w:pPr>
        <w:spacing w:after="0" w:line="240" w:lineRule="auto"/>
      </w:pPr>
      <w:r>
        <w:separator/>
      </w:r>
    </w:p>
  </w:footnote>
  <w:footnote w:type="continuationSeparator" w:id="0">
    <w:p w:rsidR="001800C8" w:rsidRDefault="001800C8" w:rsidP="00AC1D5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C1D5A" w:rsidRDefault="00AC1D5A" w:rsidP="000B46FC">
    <w:pPr>
      <w:pStyle w:val="a3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 PAGE </w:instrText>
    </w:r>
    <w:r>
      <w:rPr>
        <w:rStyle w:val="a7"/>
      </w:rPr>
      <w:fldChar w:fldCharType="end"/>
    </w:r>
  </w:p>
  <w:p w:rsidR="00AC1D5A" w:rsidRDefault="00AC1D5A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C1D5A" w:rsidRPr="00AC1D5A" w:rsidRDefault="00AC1D5A" w:rsidP="000B46FC">
    <w:pPr>
      <w:pStyle w:val="a3"/>
      <w:framePr w:wrap="around" w:vAnchor="text" w:hAnchor="margin" w:xAlign="center" w:y="1"/>
      <w:rPr>
        <w:rStyle w:val="a7"/>
        <w:rFonts w:ascii="Times New Roman" w:hAnsi="Times New Roman" w:cs="Times New Roman"/>
        <w:sz w:val="24"/>
      </w:rPr>
    </w:pPr>
    <w:r w:rsidRPr="00AC1D5A">
      <w:rPr>
        <w:rStyle w:val="a7"/>
        <w:rFonts w:ascii="Times New Roman" w:hAnsi="Times New Roman" w:cs="Times New Roman"/>
        <w:sz w:val="24"/>
      </w:rPr>
      <w:fldChar w:fldCharType="begin"/>
    </w:r>
    <w:r w:rsidRPr="00AC1D5A">
      <w:rPr>
        <w:rStyle w:val="a7"/>
        <w:rFonts w:ascii="Times New Roman" w:hAnsi="Times New Roman" w:cs="Times New Roman"/>
        <w:sz w:val="24"/>
      </w:rPr>
      <w:instrText xml:space="preserve"> PAGE </w:instrText>
    </w:r>
    <w:r w:rsidRPr="00AC1D5A">
      <w:rPr>
        <w:rStyle w:val="a7"/>
        <w:rFonts w:ascii="Times New Roman" w:hAnsi="Times New Roman" w:cs="Times New Roman"/>
        <w:sz w:val="24"/>
      </w:rPr>
      <w:fldChar w:fldCharType="separate"/>
    </w:r>
    <w:r w:rsidR="00230C8B">
      <w:rPr>
        <w:rStyle w:val="a7"/>
        <w:rFonts w:ascii="Times New Roman" w:hAnsi="Times New Roman" w:cs="Times New Roman"/>
        <w:noProof/>
        <w:sz w:val="24"/>
      </w:rPr>
      <w:t>2</w:t>
    </w:r>
    <w:r w:rsidRPr="00AC1D5A">
      <w:rPr>
        <w:rStyle w:val="a7"/>
        <w:rFonts w:ascii="Times New Roman" w:hAnsi="Times New Roman" w:cs="Times New Roman"/>
        <w:sz w:val="24"/>
      </w:rPr>
      <w:fldChar w:fldCharType="end"/>
    </w:r>
  </w:p>
  <w:p w:rsidR="00AC1D5A" w:rsidRPr="00AC1D5A" w:rsidRDefault="00AC1D5A">
    <w:pPr>
      <w:pStyle w:val="a3"/>
      <w:rPr>
        <w:rFonts w:ascii="Times New Roman" w:hAnsi="Times New Roman" w:cs="Times New Roman"/>
        <w:sz w:val="24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C1D5A" w:rsidRDefault="00AC1D5A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C1D5A"/>
    <w:rsid w:val="0000724D"/>
    <w:rsid w:val="000472C3"/>
    <w:rsid w:val="001800C8"/>
    <w:rsid w:val="00230C8B"/>
    <w:rsid w:val="005D4193"/>
    <w:rsid w:val="00AC1D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0F2877B-0C8A-46E6-B267-82F69059D4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titlencpi">
    <w:name w:val="titlencpi"/>
    <w:basedOn w:val="a"/>
    <w:rsid w:val="00AC1D5A"/>
    <w:pPr>
      <w:spacing w:before="240" w:after="240" w:line="240" w:lineRule="auto"/>
      <w:ind w:right="2268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customStyle="1" w:styleId="titlep">
    <w:name w:val="titlep"/>
    <w:basedOn w:val="a"/>
    <w:rsid w:val="00AC1D5A"/>
    <w:pPr>
      <w:spacing w:before="240" w:after="240" w:line="240" w:lineRule="auto"/>
      <w:jc w:val="center"/>
    </w:pPr>
    <w:rPr>
      <w:rFonts w:ascii="Times New Roman" w:eastAsiaTheme="minorEastAsia" w:hAnsi="Times New Roman" w:cs="Times New Roman"/>
      <w:b/>
      <w:bCs/>
      <w:sz w:val="24"/>
      <w:szCs w:val="24"/>
      <w:lang w:eastAsia="ru-RU"/>
    </w:rPr>
  </w:style>
  <w:style w:type="paragraph" w:customStyle="1" w:styleId="point">
    <w:name w:val="point"/>
    <w:basedOn w:val="a"/>
    <w:rsid w:val="00AC1D5A"/>
    <w:pPr>
      <w:spacing w:after="0" w:line="240" w:lineRule="auto"/>
      <w:ind w:firstLine="567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comment">
    <w:name w:val="comment"/>
    <w:basedOn w:val="a"/>
    <w:rsid w:val="00AC1D5A"/>
    <w:pPr>
      <w:spacing w:after="0" w:line="240" w:lineRule="auto"/>
      <w:ind w:firstLine="709"/>
      <w:jc w:val="both"/>
    </w:pPr>
    <w:rPr>
      <w:rFonts w:ascii="Times New Roman" w:eastAsiaTheme="minorEastAsia" w:hAnsi="Times New Roman" w:cs="Times New Roman"/>
      <w:sz w:val="20"/>
      <w:szCs w:val="20"/>
      <w:lang w:eastAsia="ru-RU"/>
    </w:rPr>
  </w:style>
  <w:style w:type="paragraph" w:customStyle="1" w:styleId="preamble">
    <w:name w:val="preamble"/>
    <w:basedOn w:val="a"/>
    <w:rsid w:val="00AC1D5A"/>
    <w:pPr>
      <w:spacing w:after="0" w:line="240" w:lineRule="auto"/>
      <w:ind w:firstLine="567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snoski">
    <w:name w:val="snoski"/>
    <w:basedOn w:val="a"/>
    <w:rsid w:val="00AC1D5A"/>
    <w:pPr>
      <w:spacing w:after="0" w:line="240" w:lineRule="auto"/>
      <w:jc w:val="both"/>
    </w:pPr>
    <w:rPr>
      <w:rFonts w:ascii="Times New Roman" w:eastAsiaTheme="minorEastAsia" w:hAnsi="Times New Roman" w:cs="Times New Roman"/>
      <w:sz w:val="20"/>
      <w:szCs w:val="20"/>
      <w:lang w:eastAsia="ru-RU"/>
    </w:rPr>
  </w:style>
  <w:style w:type="paragraph" w:customStyle="1" w:styleId="snoskiline">
    <w:name w:val="snoskiline"/>
    <w:basedOn w:val="a"/>
    <w:rsid w:val="00AC1D5A"/>
    <w:pPr>
      <w:spacing w:after="0" w:line="240" w:lineRule="auto"/>
      <w:jc w:val="both"/>
    </w:pPr>
    <w:rPr>
      <w:rFonts w:ascii="Times New Roman" w:eastAsiaTheme="minorEastAsia" w:hAnsi="Times New Roman" w:cs="Times New Roman"/>
      <w:sz w:val="20"/>
      <w:szCs w:val="20"/>
      <w:lang w:eastAsia="ru-RU"/>
    </w:rPr>
  </w:style>
  <w:style w:type="paragraph" w:customStyle="1" w:styleId="table10">
    <w:name w:val="table10"/>
    <w:basedOn w:val="a"/>
    <w:rsid w:val="00AC1D5A"/>
    <w:pPr>
      <w:spacing w:after="0" w:line="240" w:lineRule="auto"/>
    </w:pPr>
    <w:rPr>
      <w:rFonts w:ascii="Times New Roman" w:eastAsiaTheme="minorEastAsia" w:hAnsi="Times New Roman" w:cs="Times New Roman"/>
      <w:sz w:val="20"/>
      <w:szCs w:val="20"/>
      <w:lang w:eastAsia="ru-RU"/>
    </w:rPr>
  </w:style>
  <w:style w:type="paragraph" w:customStyle="1" w:styleId="append">
    <w:name w:val="append"/>
    <w:basedOn w:val="a"/>
    <w:rsid w:val="00AC1D5A"/>
    <w:pPr>
      <w:spacing w:after="0" w:line="240" w:lineRule="auto"/>
    </w:pPr>
    <w:rPr>
      <w:rFonts w:ascii="Times New Roman" w:eastAsiaTheme="minorEastAsia" w:hAnsi="Times New Roman" w:cs="Times New Roman"/>
      <w:lang w:eastAsia="ru-RU"/>
    </w:rPr>
  </w:style>
  <w:style w:type="paragraph" w:customStyle="1" w:styleId="append1">
    <w:name w:val="append1"/>
    <w:basedOn w:val="a"/>
    <w:rsid w:val="00AC1D5A"/>
    <w:pPr>
      <w:spacing w:after="28" w:line="240" w:lineRule="auto"/>
    </w:pPr>
    <w:rPr>
      <w:rFonts w:ascii="Times New Roman" w:eastAsiaTheme="minorEastAsia" w:hAnsi="Times New Roman" w:cs="Times New Roman"/>
      <w:lang w:eastAsia="ru-RU"/>
    </w:rPr>
  </w:style>
  <w:style w:type="paragraph" w:customStyle="1" w:styleId="newncpi">
    <w:name w:val="newncpi"/>
    <w:basedOn w:val="a"/>
    <w:rsid w:val="00AC1D5A"/>
    <w:pPr>
      <w:spacing w:after="0" w:line="240" w:lineRule="auto"/>
      <w:ind w:firstLine="567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newncpi0">
    <w:name w:val="newncpi0"/>
    <w:basedOn w:val="a"/>
    <w:rsid w:val="00AC1D5A"/>
    <w:pPr>
      <w:spacing w:after="0" w:line="240" w:lineRule="auto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customStyle="1" w:styleId="name">
    <w:name w:val="name"/>
    <w:basedOn w:val="a0"/>
    <w:rsid w:val="00AC1D5A"/>
    <w:rPr>
      <w:rFonts w:ascii="Times New Roman" w:hAnsi="Times New Roman" w:cs="Times New Roman" w:hint="default"/>
      <w:caps/>
    </w:rPr>
  </w:style>
  <w:style w:type="character" w:customStyle="1" w:styleId="promulgator">
    <w:name w:val="promulgator"/>
    <w:basedOn w:val="a0"/>
    <w:rsid w:val="00AC1D5A"/>
    <w:rPr>
      <w:rFonts w:ascii="Times New Roman" w:hAnsi="Times New Roman" w:cs="Times New Roman" w:hint="default"/>
      <w:caps/>
    </w:rPr>
  </w:style>
  <w:style w:type="character" w:customStyle="1" w:styleId="datepr">
    <w:name w:val="datepr"/>
    <w:basedOn w:val="a0"/>
    <w:rsid w:val="00AC1D5A"/>
    <w:rPr>
      <w:rFonts w:ascii="Times New Roman" w:hAnsi="Times New Roman" w:cs="Times New Roman" w:hint="default"/>
    </w:rPr>
  </w:style>
  <w:style w:type="character" w:customStyle="1" w:styleId="number">
    <w:name w:val="number"/>
    <w:basedOn w:val="a0"/>
    <w:rsid w:val="00AC1D5A"/>
    <w:rPr>
      <w:rFonts w:ascii="Times New Roman" w:hAnsi="Times New Roman" w:cs="Times New Roman" w:hint="default"/>
    </w:rPr>
  </w:style>
  <w:style w:type="character" w:customStyle="1" w:styleId="post">
    <w:name w:val="post"/>
    <w:basedOn w:val="a0"/>
    <w:rsid w:val="00AC1D5A"/>
    <w:rPr>
      <w:rFonts w:ascii="Times New Roman" w:hAnsi="Times New Roman" w:cs="Times New Roman" w:hint="default"/>
      <w:b/>
      <w:bCs/>
      <w:sz w:val="22"/>
      <w:szCs w:val="22"/>
    </w:rPr>
  </w:style>
  <w:style w:type="character" w:customStyle="1" w:styleId="pers">
    <w:name w:val="pers"/>
    <w:basedOn w:val="a0"/>
    <w:rsid w:val="00AC1D5A"/>
    <w:rPr>
      <w:rFonts w:ascii="Times New Roman" w:hAnsi="Times New Roman" w:cs="Times New Roman" w:hint="default"/>
      <w:b/>
      <w:bCs/>
      <w:sz w:val="22"/>
      <w:szCs w:val="22"/>
    </w:rPr>
  </w:style>
  <w:style w:type="paragraph" w:styleId="a3">
    <w:name w:val="header"/>
    <w:basedOn w:val="a"/>
    <w:link w:val="a4"/>
    <w:uiPriority w:val="99"/>
    <w:unhideWhenUsed/>
    <w:rsid w:val="00AC1D5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AC1D5A"/>
  </w:style>
  <w:style w:type="paragraph" w:styleId="a5">
    <w:name w:val="footer"/>
    <w:basedOn w:val="a"/>
    <w:link w:val="a6"/>
    <w:uiPriority w:val="99"/>
    <w:unhideWhenUsed/>
    <w:rsid w:val="00AC1D5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AC1D5A"/>
  </w:style>
  <w:style w:type="character" w:styleId="a7">
    <w:name w:val="page number"/>
    <w:basedOn w:val="a0"/>
    <w:uiPriority w:val="99"/>
    <w:semiHidden/>
    <w:unhideWhenUsed/>
    <w:rsid w:val="00AC1D5A"/>
  </w:style>
  <w:style w:type="table" w:styleId="a8">
    <w:name w:val="Table Grid"/>
    <w:basedOn w:val="a1"/>
    <w:uiPriority w:val="39"/>
    <w:rsid w:val="00AC1D5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409</Words>
  <Characters>2334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Министерство финансов РБ</Company>
  <LinksUpToDate>false</LinksUpToDate>
  <CharactersWithSpaces>2738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Давидюк Ольга Владимировна</dc:creator>
  <cp:keywords/>
  <dc:description/>
  <cp:lastModifiedBy>Кузьмина Луиза Анатольевна</cp:lastModifiedBy>
  <cp:revision>2</cp:revision>
  <dcterms:created xsi:type="dcterms:W3CDTF">2024-06-27T08:53:00Z</dcterms:created>
  <dcterms:modified xsi:type="dcterms:W3CDTF">2024-06-27T08:53:00Z</dcterms:modified>
</cp:coreProperties>
</file>