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9C" w:rsidRPr="00B30757" w:rsidRDefault="00210B9C" w:rsidP="00996D1C">
      <w:pPr>
        <w:spacing w:after="240" w:line="276" w:lineRule="auto"/>
        <w:jc w:val="center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  <w:b/>
        </w:rPr>
        <w:t>Рекомендации по гармонизации законодательства</w:t>
      </w:r>
      <w:r w:rsidRPr="00B30757">
        <w:rPr>
          <w:rFonts w:ascii="Times New Roman" w:hAnsi="Times New Roman" w:cs="Times New Roman"/>
          <w:b/>
        </w:rPr>
        <w:br/>
        <w:t>государств – участников СНГ, регулирующего порядок осуществления пруденциального надзора на рынке ценных бумаг</w:t>
      </w:r>
      <w:r w:rsidRPr="00B30757">
        <w:rPr>
          <w:rFonts w:ascii="Times New Roman" w:hAnsi="Times New Roman" w:cs="Times New Roman"/>
          <w:b/>
        </w:rPr>
        <w:br/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 xml:space="preserve">Целью настоящих Рекомендаций является подготовка предложений по гармонизации законодательства </w:t>
      </w:r>
      <w:r w:rsidRPr="00B30757">
        <w:rPr>
          <w:rFonts w:ascii="Times New Roman" w:hAnsi="Times New Roman" w:cs="Times New Roman"/>
          <w:lang w:val="uk-UA"/>
        </w:rPr>
        <w:t>государств</w:t>
      </w:r>
      <w:r>
        <w:rPr>
          <w:rFonts w:ascii="Times New Roman" w:hAnsi="Times New Roman" w:cs="Times New Roman"/>
          <w:lang w:val="uk-UA"/>
        </w:rPr>
        <w:t xml:space="preserve"> – </w:t>
      </w:r>
      <w:r w:rsidRPr="00B30757">
        <w:rPr>
          <w:rFonts w:ascii="Times New Roman" w:hAnsi="Times New Roman" w:cs="Times New Roman"/>
          <w:lang w:val="uk-UA"/>
        </w:rPr>
        <w:t>участников</w:t>
      </w:r>
      <w:r>
        <w:rPr>
          <w:rFonts w:ascii="Times New Roman" w:hAnsi="Times New Roman" w:cs="Times New Roman"/>
          <w:lang w:val="uk-UA"/>
        </w:rPr>
        <w:t xml:space="preserve"> </w:t>
      </w:r>
      <w:r w:rsidRPr="00B30757">
        <w:rPr>
          <w:rFonts w:ascii="Times New Roman" w:hAnsi="Times New Roman" w:cs="Times New Roman"/>
          <w:lang w:val="uk-UA"/>
        </w:rPr>
        <w:t>СНГ, регулирующего</w:t>
      </w:r>
      <w:r w:rsidRPr="00B30757">
        <w:rPr>
          <w:rFonts w:ascii="Times New Roman" w:hAnsi="Times New Roman" w:cs="Times New Roman"/>
        </w:rPr>
        <w:t xml:space="preserve"> порядок осуществления пруденциального надзора на рынке ценных бумаг (РЦБ).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Настоящие Рекомендации разработаны на основе результатов Сравнительного анализа национальных законодательств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</w:t>
      </w:r>
      <w:r w:rsidRPr="00B30757">
        <w:rPr>
          <w:rFonts w:ascii="Times New Roman" w:hAnsi="Times New Roman" w:cs="Times New Roman"/>
        </w:rPr>
        <w:t>СНГ, регулирующих порядок осуществления пруденциального надзора на рынке ценных бумаг</w:t>
      </w:r>
      <w:r w:rsidRPr="00B30757">
        <w:rPr>
          <w:rStyle w:val="FootnoteReference"/>
          <w:rFonts w:ascii="Times New Roman" w:hAnsi="Times New Roman"/>
        </w:rPr>
        <w:footnoteReference w:id="1"/>
      </w:r>
      <w:r w:rsidRPr="00B30757">
        <w:rPr>
          <w:rFonts w:ascii="Times New Roman" w:hAnsi="Times New Roman" w:cs="Times New Roman"/>
        </w:rPr>
        <w:t>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 xml:space="preserve">Согласно результатам проведенного Сравнительного анализа законодательная база, регулирующая порядок осуществления пруденциального надзора на РЦБ, в целом сформирована, и существуют институциональные основы для дальнейшего развития и совершенствования регулирования в указанной сфере. Выявленные в ходе указанного анализа расхождения в регулировании </w:t>
      </w:r>
      <w:r>
        <w:rPr>
          <w:rFonts w:ascii="Times New Roman" w:hAnsi="Times New Roman" w:cs="Times New Roman"/>
        </w:rPr>
        <w:t xml:space="preserve">в </w:t>
      </w:r>
      <w:r w:rsidRPr="00B30757">
        <w:rPr>
          <w:rFonts w:ascii="Times New Roman" w:hAnsi="Times New Roman" w:cs="Times New Roman"/>
        </w:rPr>
        <w:t>государств</w:t>
      </w:r>
      <w:r>
        <w:rPr>
          <w:rFonts w:ascii="Times New Roman" w:hAnsi="Times New Roman" w:cs="Times New Roman"/>
        </w:rPr>
        <w:t xml:space="preserve">ах – </w:t>
      </w:r>
      <w:r w:rsidRPr="00B30757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ах СНГ</w:t>
      </w:r>
      <w:r w:rsidRPr="00B30757">
        <w:rPr>
          <w:rFonts w:ascii="Times New Roman" w:hAnsi="Times New Roman" w:cs="Times New Roman"/>
        </w:rPr>
        <w:t xml:space="preserve"> во многом связаны с </w:t>
      </w:r>
      <w:r>
        <w:rPr>
          <w:rFonts w:ascii="Times New Roman" w:hAnsi="Times New Roman" w:cs="Times New Roman"/>
        </w:rPr>
        <w:t>разл</w:t>
      </w:r>
      <w:r w:rsidRPr="00B30757">
        <w:rPr>
          <w:rFonts w:ascii="Times New Roman" w:hAnsi="Times New Roman" w:cs="Times New Roman"/>
        </w:rPr>
        <w:t>ичиями в перечне финансовых организаций, являющихся объектом пруденциального надзора в соответствии с национальным законодательств</w:t>
      </w:r>
      <w:r>
        <w:rPr>
          <w:rFonts w:ascii="Times New Roman" w:hAnsi="Times New Roman" w:cs="Times New Roman"/>
        </w:rPr>
        <w:t>ом</w:t>
      </w:r>
      <w:r w:rsidRPr="00B30757">
        <w:rPr>
          <w:rFonts w:ascii="Times New Roman" w:hAnsi="Times New Roman" w:cs="Times New Roman"/>
        </w:rPr>
        <w:t xml:space="preserve">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>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В рамках настоящих Рекомендаций установлены следующие понятия: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профессиональные участники рынка ценных бумаг (ПУРЦБ) – финансовые организации, являющиеся объектом пруденциального надзора и (или) в отношении которых установлены пруденциальные нормативы в соответствии с национальным законодательств</w:t>
      </w:r>
      <w:r>
        <w:rPr>
          <w:rFonts w:ascii="Times New Roman" w:hAnsi="Times New Roman" w:cs="Times New Roman"/>
        </w:rPr>
        <w:t>о</w:t>
      </w:r>
      <w:r w:rsidRPr="00B30757">
        <w:rPr>
          <w:rFonts w:ascii="Times New Roman" w:hAnsi="Times New Roman" w:cs="Times New Roman"/>
        </w:rPr>
        <w:t>м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>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пруденциальный надзор – установление норм и стандартов деятельности ПУРЦБ, направленных на обеспечение стабильности функционирования ПУРЦБ, надежности и платежеспособности участников рынка ценных бумаг, минимизацию рисков их деятельности, а также защиту интересов акционеров и вкладчиков;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пруденциальные нормы – обязательные требования, выполнение которых обеспечивает достижение целей пруденциального надзора;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уполномоченный орган – орган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ов СНГ</w:t>
      </w:r>
      <w:r w:rsidRPr="00B30757">
        <w:rPr>
          <w:rFonts w:ascii="Times New Roman" w:hAnsi="Times New Roman" w:cs="Times New Roman"/>
        </w:rPr>
        <w:t>, осуществляющий в соответствии с национальным законодательством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ов СНГ</w:t>
      </w:r>
      <w:r w:rsidRPr="00B30757">
        <w:rPr>
          <w:rFonts w:ascii="Times New Roman" w:hAnsi="Times New Roman" w:cs="Times New Roman"/>
        </w:rPr>
        <w:t xml:space="preserve"> пруденциальный надзор на РЦБ.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Г</w:t>
      </w:r>
      <w:r w:rsidRPr="00B30757">
        <w:rPr>
          <w:rFonts w:ascii="Times New Roman" w:hAnsi="Times New Roman" w:cs="Times New Roman"/>
          <w:lang w:val="uk-UA"/>
        </w:rPr>
        <w:t>осударствам</w:t>
      </w:r>
      <w:r>
        <w:rPr>
          <w:rFonts w:ascii="Times New Roman" w:hAnsi="Times New Roman" w:cs="Times New Roman"/>
          <w:lang w:val="uk-UA"/>
        </w:rPr>
        <w:t xml:space="preserve"> – </w:t>
      </w:r>
      <w:r w:rsidRPr="00B30757">
        <w:rPr>
          <w:rFonts w:ascii="Times New Roman" w:hAnsi="Times New Roman" w:cs="Times New Roman"/>
          <w:lang w:val="uk-UA"/>
        </w:rPr>
        <w:t>участникам</w:t>
      </w:r>
      <w:r>
        <w:rPr>
          <w:rFonts w:ascii="Times New Roman" w:hAnsi="Times New Roman" w:cs="Times New Roman"/>
          <w:lang w:val="uk-UA"/>
        </w:rPr>
        <w:t xml:space="preserve"> СНГ рекомендовано следующее: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B30757">
        <w:rPr>
          <w:rFonts w:ascii="Times New Roman" w:hAnsi="Times New Roman" w:cs="Times New Roman"/>
        </w:rPr>
        <w:t>Для единообразного толкования и регулирования пруденциального надзора на РЦБ рекомендуется сближать перечни ПУРЦБ, обеспечив распространение пруденциального надзора (пруденциальных норм) на РЦБ на лиц, осуществляющих брокерскую, дилерскую и депозитарную деятельность, а также деятельность по доверительному управлению ценными бумагами</w:t>
      </w:r>
      <w:r w:rsidRPr="00B30757">
        <w:rPr>
          <w:rStyle w:val="FootnoteReference"/>
          <w:rFonts w:ascii="Times New Roman" w:hAnsi="Times New Roman"/>
        </w:rPr>
        <w:footnoteReference w:id="2"/>
      </w:r>
      <w:r w:rsidRPr="00B30757">
        <w:rPr>
          <w:rFonts w:ascii="Times New Roman" w:hAnsi="Times New Roman" w:cs="Times New Roman"/>
        </w:rPr>
        <w:t>.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И</w:t>
      </w:r>
      <w:r w:rsidRPr="00B30757">
        <w:rPr>
          <w:rFonts w:ascii="Times New Roman" w:hAnsi="Times New Roman" w:cs="Times New Roman"/>
        </w:rPr>
        <w:t>спользовать единый подход при определении перечня полномочий и функций уполномоченных органов государств-участников в сфере пруденциального регулирования и надзора на РЦБ, предусмотренных национальным законодательств</w:t>
      </w:r>
      <w:r>
        <w:rPr>
          <w:rFonts w:ascii="Times New Roman" w:hAnsi="Times New Roman" w:cs="Times New Roman"/>
        </w:rPr>
        <w:t>о</w:t>
      </w:r>
      <w:r w:rsidRPr="00B30757">
        <w:rPr>
          <w:rFonts w:ascii="Times New Roman" w:hAnsi="Times New Roman" w:cs="Times New Roman"/>
        </w:rPr>
        <w:t>м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>. В качестве основополагающих полномочий и функций уполномоченных органов в указанной сфере рекомендуется установить следующие: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осуществление лицензирования деятельности ПУРЦБ, приостановление и аннулирование лицензий на осуществление данной деятельности;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разработка и утверждение требований к порядку осуществления деятельности ПУРЦБ;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установление требований к собственным средствам (капиталу)</w:t>
      </w:r>
      <w:r w:rsidRPr="00D1243D">
        <w:rPr>
          <w:rStyle w:val="FootnoteReference"/>
          <w:rFonts w:ascii="Times New Roman" w:hAnsi="Times New Roman"/>
        </w:rPr>
        <w:footnoteReference w:id="3"/>
      </w:r>
      <w:r w:rsidRPr="00B30757">
        <w:rPr>
          <w:rFonts w:ascii="Times New Roman" w:hAnsi="Times New Roman" w:cs="Times New Roman"/>
        </w:rPr>
        <w:t xml:space="preserve"> и пруденциальных нормативов для ПУРЦБ;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осуществление контроля за соблюдением ПУРЦБ законодательства о ценных бумагах и соответствующих нормативных актов;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вынесение в отношении ПУРЦБ обязательных для исполнения предписаний (предупреждений), связанных с осуществлением ими профессиональной деятельности на РЦБ;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применение мер административной ответственности за нарушения законодательства в сфере РЦБ;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осуществление контроля защит</w:t>
      </w:r>
      <w:r>
        <w:rPr>
          <w:rFonts w:ascii="Times New Roman" w:hAnsi="Times New Roman" w:cs="Times New Roman"/>
        </w:rPr>
        <w:t>ы</w:t>
      </w:r>
      <w:r w:rsidRPr="00B30757">
        <w:rPr>
          <w:rFonts w:ascii="Times New Roman" w:hAnsi="Times New Roman" w:cs="Times New Roman"/>
        </w:rPr>
        <w:t xml:space="preserve"> прав и законных интересов инвесторов и иных владельцев ценных бумаг, а также соблюдени</w:t>
      </w:r>
      <w:r>
        <w:rPr>
          <w:rFonts w:ascii="Times New Roman" w:hAnsi="Times New Roman" w:cs="Times New Roman"/>
        </w:rPr>
        <w:t>я</w:t>
      </w:r>
      <w:r w:rsidRPr="00B30757">
        <w:rPr>
          <w:rFonts w:ascii="Times New Roman" w:hAnsi="Times New Roman" w:cs="Times New Roman"/>
        </w:rPr>
        <w:t xml:space="preserve"> ПУРЦБ прав и интересов указанных лиц.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Pr="00B30757">
        <w:rPr>
          <w:rFonts w:ascii="Times New Roman" w:hAnsi="Times New Roman" w:cs="Times New Roman"/>
        </w:rPr>
        <w:t>Для обеспечения финансовой устойчивости РЦБ государствам-участникам рекомендуется законодательно установить минимальный размер собственных средств (капитала) и (или) норматив достаточности собственных средств (капитала) ПУРЦБ.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B30757">
        <w:rPr>
          <w:rFonts w:ascii="Times New Roman" w:hAnsi="Times New Roman" w:cs="Times New Roman"/>
        </w:rPr>
        <w:t>Виды обязательных нормативов, а также показателей, характеризующих соблюдение и порядок расчета значений обязательных нормативов, рекомендуется установить отдельно в отношении каждого вида профессиональной деятельности на РЦБ.</w:t>
      </w:r>
    </w:p>
    <w:p w:rsidR="00210B9C" w:rsidRPr="00B30757" w:rsidRDefault="00210B9C" w:rsidP="00B75BC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Pr="00B30757">
        <w:rPr>
          <w:rFonts w:ascii="Times New Roman" w:hAnsi="Times New Roman" w:cs="Times New Roman"/>
        </w:rPr>
        <w:t>В законодательстве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определить порядок, сроки и формат представления ПУРЦБ расчетов/отчетности, подтверждающих соблюдение им обязательных нормативов, в уполномоченный орган. В отношении формата представления указанных расчетов/отчетности рекомендуется отдавать предпочтение электронному формату для целей упрощения анализа соответствующей информации.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</w:t>
      </w:r>
      <w:r w:rsidRPr="00B30757">
        <w:rPr>
          <w:rFonts w:ascii="Times New Roman" w:hAnsi="Times New Roman" w:cs="Times New Roman"/>
        </w:rPr>
        <w:t>В целях обеспечения финансовой стабильности ПУРЦБ государствам – 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предусмотреть ограничения на совмещение некоторых видов деятельности ПУРЦБ с иными видами деятельности, за исключением обычной хозяйственной деятельности и определенного круга банковских операций, а также деятельности по оказанию вспомогательных и консультационных услуг в сфере РЦБ.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r w:rsidRPr="00B30757">
        <w:rPr>
          <w:rFonts w:ascii="Times New Roman" w:hAnsi="Times New Roman" w:cs="Times New Roman"/>
        </w:rPr>
        <w:t>В законодательстве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также предусмотреть ограничение на совмещение некоторых видов профессиональной деятельности на РЦБ. Так, 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разрешить совмещение брокерской деятельности, дилерской деятельности, деятельности по управлению активами и депозитарной деятельности.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8. </w:t>
      </w:r>
      <w:r w:rsidRPr="00B30757">
        <w:rPr>
          <w:rFonts w:ascii="Times New Roman" w:hAnsi="Times New Roman" w:cs="Times New Roman"/>
        </w:rPr>
        <w:t>Для осуществления каждого вида профессиональной деятельности на РЦБ рекомендуется создавать отдельное структурное подразделение.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9. </w:t>
      </w:r>
      <w:r w:rsidRPr="00B30757">
        <w:rPr>
          <w:rFonts w:ascii="Times New Roman" w:hAnsi="Times New Roman" w:cs="Times New Roman"/>
        </w:rPr>
        <w:t>В национальн</w:t>
      </w:r>
      <w:r>
        <w:rPr>
          <w:rFonts w:ascii="Times New Roman" w:hAnsi="Times New Roman" w:cs="Times New Roman"/>
        </w:rPr>
        <w:t>ом</w:t>
      </w:r>
      <w:r w:rsidRPr="00B30757">
        <w:rPr>
          <w:rFonts w:ascii="Times New Roman" w:hAnsi="Times New Roman" w:cs="Times New Roman"/>
        </w:rPr>
        <w:t xml:space="preserve"> законодательств</w:t>
      </w:r>
      <w:r>
        <w:rPr>
          <w:rFonts w:ascii="Times New Roman" w:hAnsi="Times New Roman" w:cs="Times New Roman"/>
        </w:rPr>
        <w:t>е</w:t>
      </w:r>
      <w:r w:rsidRPr="00B30757">
        <w:rPr>
          <w:rFonts w:ascii="Times New Roman" w:hAnsi="Times New Roman" w:cs="Times New Roman"/>
        </w:rPr>
        <w:t xml:space="preserve">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предусмотреть следующие требования к должностным лицам</w:t>
      </w:r>
      <w:r w:rsidRPr="00D1243D">
        <w:rPr>
          <w:rStyle w:val="FootnoteReference"/>
          <w:rFonts w:ascii="Times New Roman" w:hAnsi="Times New Roman"/>
        </w:rPr>
        <w:footnoteReference w:id="4"/>
      </w:r>
      <w:r w:rsidRPr="00D1243D">
        <w:rPr>
          <w:rStyle w:val="FootnoteReference"/>
        </w:rPr>
        <w:t>,</w:t>
      </w:r>
      <w:r w:rsidRPr="00B30757">
        <w:rPr>
          <w:rFonts w:ascii="Times New Roman" w:hAnsi="Times New Roman" w:cs="Times New Roman"/>
        </w:rPr>
        <w:t xml:space="preserve"> членам совета директоров и членам коллегиального исполнительного органа ПУРЦБ: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отсутствие у кандидатов на занятие указанных должностей дисквалификации, отсутствие запрета суда/уполномоченного органа по надзору на занятие соответствующих должностей;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отсутствие у кандидатов на занятие указанных должностей в течение определенного периода в прошлом фактов занятия руководящих должностей в финансовых организациях, которыми в период руководства были совершены нарушения на финансовом рынке, у которых была отозвана лицензия и которые были признаны банкротами;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отсутствие у кандидатов на занятие указанных должностей в прошлом судимости за преступления в сфере экономической деятельности и (или) отсутствие судебного запрета занимать указанные должности в организациях в финансовой, экономической и правовой сфер</w:t>
      </w:r>
      <w:r>
        <w:rPr>
          <w:rFonts w:ascii="Times New Roman" w:hAnsi="Times New Roman" w:cs="Times New Roman"/>
        </w:rPr>
        <w:t>ах</w:t>
      </w:r>
      <w:r w:rsidRPr="00B30757">
        <w:rPr>
          <w:rFonts w:ascii="Times New Roman" w:hAnsi="Times New Roman" w:cs="Times New Roman"/>
        </w:rPr>
        <w:t>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наличие у кандидата квалификационного аттестата/соответствующей профессиональной квалификации;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наличие у кандидата определенного опыта;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наличие у кандидата высшего профессионального образования;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отсутствие факта признания кандидата на занятие указанных должностей недееспособным или ограниченно дееспособным в установленном законом порядке.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10. </w:t>
      </w:r>
      <w:r w:rsidRPr="00B30757">
        <w:rPr>
          <w:rFonts w:ascii="Times New Roman" w:hAnsi="Times New Roman" w:cs="Times New Roman"/>
        </w:rPr>
        <w:t>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сближать подходы в сфере установления требований к учредителям (участникам) ПУРЦБ, предусмотрев, в частности, требование о предварительном/последующем уведомлении уполномоченного органа при приобретении/отчуждении значительного пакета голосующих акций ПУРЦБ и соответствующем контроле со стороны уполномоченного органа. В законодательств</w:t>
      </w:r>
      <w:r>
        <w:rPr>
          <w:rFonts w:ascii="Times New Roman" w:hAnsi="Times New Roman" w:cs="Times New Roman"/>
        </w:rPr>
        <w:t>е</w:t>
      </w:r>
      <w:r w:rsidRPr="00B30757">
        <w:rPr>
          <w:rFonts w:ascii="Times New Roman" w:hAnsi="Times New Roman" w:cs="Times New Roman"/>
        </w:rPr>
        <w:t xml:space="preserve">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предусмотреть создание ПУРЦБ только в форме хозяйственных обществ, а в случаях, установленных законодательством государств – участник</w:t>
      </w:r>
      <w:r>
        <w:rPr>
          <w:rFonts w:ascii="Times New Roman" w:hAnsi="Times New Roman" w:cs="Times New Roman"/>
        </w:rPr>
        <w:t>ов СНГ</w:t>
      </w:r>
      <w:r w:rsidRPr="00B30757">
        <w:rPr>
          <w:rFonts w:ascii="Times New Roman" w:hAnsi="Times New Roman" w:cs="Times New Roman"/>
        </w:rPr>
        <w:t>, в иных организационно</w:t>
      </w:r>
      <w:r>
        <w:rPr>
          <w:rFonts w:ascii="Times New Roman" w:hAnsi="Times New Roman" w:cs="Times New Roman"/>
        </w:rPr>
        <w:t>-</w:t>
      </w:r>
      <w:r w:rsidRPr="00B30757">
        <w:rPr>
          <w:rFonts w:ascii="Times New Roman" w:hAnsi="Times New Roman" w:cs="Times New Roman"/>
        </w:rPr>
        <w:t>правовых формах. Кроме того, рекомендуется в отношении отдельных видов ПУРЦБ (например, бирж/отдельных видов бирж) установить требование о создании исключительно в форме акционерного общества.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11. </w:t>
      </w:r>
      <w:r w:rsidRPr="00B30757">
        <w:rPr>
          <w:rFonts w:ascii="Times New Roman" w:hAnsi="Times New Roman" w:cs="Times New Roman"/>
        </w:rPr>
        <w:t>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закрепить в сво</w:t>
      </w:r>
      <w:r>
        <w:rPr>
          <w:rFonts w:ascii="Times New Roman" w:hAnsi="Times New Roman" w:cs="Times New Roman"/>
        </w:rPr>
        <w:t>ем</w:t>
      </w:r>
      <w:r w:rsidRPr="00B30757">
        <w:rPr>
          <w:rFonts w:ascii="Times New Roman" w:hAnsi="Times New Roman" w:cs="Times New Roman"/>
        </w:rPr>
        <w:t xml:space="preserve"> законодательств</w:t>
      </w:r>
      <w:r>
        <w:rPr>
          <w:rFonts w:ascii="Times New Roman" w:hAnsi="Times New Roman" w:cs="Times New Roman"/>
        </w:rPr>
        <w:t>е</w:t>
      </w:r>
      <w:r w:rsidRPr="00B30757">
        <w:rPr>
          <w:rFonts w:ascii="Times New Roman" w:hAnsi="Times New Roman" w:cs="Times New Roman"/>
        </w:rPr>
        <w:t xml:space="preserve"> требование о пред</w:t>
      </w:r>
      <w:r>
        <w:rPr>
          <w:rFonts w:ascii="Times New Roman" w:hAnsi="Times New Roman" w:cs="Times New Roman"/>
        </w:rPr>
        <w:t>о</w:t>
      </w:r>
      <w:r w:rsidRPr="00B30757">
        <w:rPr>
          <w:rFonts w:ascii="Times New Roman" w:hAnsi="Times New Roman" w:cs="Times New Roman"/>
        </w:rPr>
        <w:t>ставлении ПУРЦБ полной информации об аффилированных лицах и структуре собственности</w:t>
      </w:r>
      <w:r w:rsidRPr="00D1243D">
        <w:rPr>
          <w:rStyle w:val="FootnoteReference"/>
          <w:rFonts w:ascii="Times New Roman" w:hAnsi="Times New Roman"/>
        </w:rPr>
        <w:footnoteReference w:id="5"/>
      </w:r>
      <w:r w:rsidRPr="00D1243D">
        <w:rPr>
          <w:rStyle w:val="FootnoteReference"/>
        </w:rPr>
        <w:t>,</w:t>
      </w:r>
      <w:r w:rsidRPr="00B30757">
        <w:rPr>
          <w:rFonts w:ascii="Times New Roman" w:hAnsi="Times New Roman" w:cs="Times New Roman"/>
        </w:rPr>
        <w:t xml:space="preserve"> а также порядок, форму и сроки пред</w:t>
      </w:r>
      <w:r>
        <w:rPr>
          <w:rFonts w:ascii="Times New Roman" w:hAnsi="Times New Roman" w:cs="Times New Roman"/>
        </w:rPr>
        <w:t>о</w:t>
      </w:r>
      <w:r w:rsidRPr="00B30757">
        <w:rPr>
          <w:rFonts w:ascii="Times New Roman" w:hAnsi="Times New Roman" w:cs="Times New Roman"/>
        </w:rPr>
        <w:t>ставления такой информации в уполномоченный орган.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12. </w:t>
      </w:r>
      <w:r w:rsidRPr="00B30757">
        <w:rPr>
          <w:rFonts w:ascii="Times New Roman" w:hAnsi="Times New Roman" w:cs="Times New Roman"/>
        </w:rPr>
        <w:t>В законодательстве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</w:t>
      </w:r>
      <w:r w:rsidRPr="00B30757">
        <w:rPr>
          <w:rFonts w:ascii="Times New Roman" w:hAnsi="Times New Roman" w:cs="Times New Roman"/>
        </w:rPr>
        <w:t>СНГ рекомендуется предусмотреть требование о создании ПУРЦБ системы внутреннего контроля/наличии контролера для контроля соответствия осуществляемой ПУРЦБ деятельности требованиям законодательства, а также положениям учредительных и внутренних документов ПУРЦБ.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Рекомендуется также закрепить следующие требования к организации системы внутреннего контроля ПУРЦБ:</w:t>
      </w:r>
    </w:p>
    <w:p w:rsidR="00210B9C" w:rsidRPr="0011025F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11025F">
        <w:rPr>
          <w:rFonts w:ascii="Times New Roman" w:hAnsi="Times New Roman" w:cs="Times New Roman"/>
        </w:rPr>
        <w:t>структурное подразделение, осуществляющее функции внутреннего контроля деятельности ПУРЦБ (служба внутреннего контроля), или контролер должны быть независимы от других структурных подразделений ПУРЦБ;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контролер не имеет права осуществлять функции, связанные с деятельностью, мониторинг и контроль которой осуществляется им в рамках внутреннего контроля во избежание конфликта интересов.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13. </w:t>
      </w:r>
      <w:r w:rsidRPr="00B30757">
        <w:rPr>
          <w:rFonts w:ascii="Times New Roman" w:hAnsi="Times New Roman" w:cs="Times New Roman"/>
        </w:rPr>
        <w:t>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рекомендовано законодательно установить случаи, в которых создание ПУРЦБ системы внутреннего аудита является обязательным.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В отношении организации системы внутреннего аудита рекомендуется закрепить следующие ее особенности: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выполнение функций по оценке эффективности и надежности системы управления рисками и системы внутреннего контроля;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независимость от других подразделений ПУРЦБ;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подотчетность уполномоченному органу управления ПУРЦБ.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14. </w:t>
      </w:r>
      <w:r w:rsidRPr="00B30757">
        <w:rPr>
          <w:rFonts w:ascii="Times New Roman" w:hAnsi="Times New Roman" w:cs="Times New Roman"/>
        </w:rPr>
        <w:t>В целях обеспечения финансовой стабильности ПУРЦБ 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в рамках национальн</w:t>
      </w:r>
      <w:r>
        <w:rPr>
          <w:rFonts w:ascii="Times New Roman" w:hAnsi="Times New Roman" w:cs="Times New Roman"/>
        </w:rPr>
        <w:t>ого</w:t>
      </w:r>
      <w:r w:rsidRPr="00B30757">
        <w:rPr>
          <w:rFonts w:ascii="Times New Roman" w:hAnsi="Times New Roman" w:cs="Times New Roman"/>
        </w:rPr>
        <w:t xml:space="preserve"> законодательств</w:t>
      </w:r>
      <w:r>
        <w:rPr>
          <w:rFonts w:ascii="Times New Roman" w:hAnsi="Times New Roman" w:cs="Times New Roman"/>
        </w:rPr>
        <w:t>а</w:t>
      </w:r>
      <w:r w:rsidRPr="00B30757">
        <w:rPr>
          <w:rFonts w:ascii="Times New Roman" w:hAnsi="Times New Roman" w:cs="Times New Roman"/>
        </w:rPr>
        <w:t xml:space="preserve"> рекомендуется установить обязательность наличия у ПУРЦБ системы управления рисками, осуществляющей мониторинг и оценку эффективности деятельности ПУРЦБ по управлению рисками.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B30757">
        <w:rPr>
          <w:rFonts w:ascii="Times New Roman" w:hAnsi="Times New Roman" w:cs="Times New Roman"/>
        </w:rPr>
        <w:t>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законодательно закрепить требование об обязательном ежегодном прохождении ПУРЦБ аудита.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16. </w:t>
      </w:r>
      <w:r w:rsidRPr="00B30757">
        <w:rPr>
          <w:rFonts w:ascii="Times New Roman" w:hAnsi="Times New Roman" w:cs="Times New Roman"/>
        </w:rPr>
        <w:t>В отношении регулирования объема, порядка, форм и сроков предоставления отчетов, информации и уведомлений ПУРЦБ уполномоченному органу государств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ов СНГ</w:t>
      </w:r>
      <w:r w:rsidRPr="00B30757">
        <w:rPr>
          <w:rFonts w:ascii="Times New Roman" w:hAnsi="Times New Roman" w:cs="Times New Roman"/>
        </w:rPr>
        <w:t xml:space="preserve"> рекомендуется следующее: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предусмотреть дифференциацию объема представляемых уполномоченному органу отчетов и информации в зависимости от вида ПУРЦБ;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постепенно внедрять электронный формат представления ПУРЦБ отчетности и информации;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в перечень отчетности, представляемой ПУРЦБ на регулярной основе, включить в том числе следующие формы отчетности:</w:t>
      </w:r>
    </w:p>
    <w:p w:rsidR="00210B9C" w:rsidRPr="00B30757" w:rsidRDefault="00210B9C" w:rsidP="00C0796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бухгалтерский баланс/отдельные показатели бухгалтерского баланса, отчет о прибылях и убытках ПУРЦБ, а также соответствующие аудиторские заключения;</w:t>
      </w:r>
    </w:p>
    <w:p w:rsidR="00210B9C" w:rsidRPr="00B30757" w:rsidRDefault="00210B9C" w:rsidP="00C0796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отчет о деятельности ПУРЦБ, в том числе об осуществляемых им операциях;</w:t>
      </w:r>
    </w:p>
    <w:p w:rsidR="00210B9C" w:rsidRPr="00B30757" w:rsidRDefault="00210B9C" w:rsidP="00C0796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B30757">
        <w:rPr>
          <w:rFonts w:ascii="Times New Roman" w:hAnsi="Times New Roman" w:cs="Times New Roman"/>
        </w:rPr>
        <w:t xml:space="preserve"> о структуре, органах управления и работниках ПУРЦБ.</w:t>
      </w:r>
    </w:p>
    <w:p w:rsidR="00210B9C" w:rsidRPr="0011025F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17. </w:t>
      </w:r>
      <w:r w:rsidRPr="00B30757">
        <w:rPr>
          <w:rFonts w:ascii="Times New Roman" w:hAnsi="Times New Roman" w:cs="Times New Roman"/>
        </w:rPr>
        <w:t>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рассмотреть целесообразность внедрения в законодательство права уполномоченного органа назначать в ПУРЦБ представителя (представителей) из числа своих сотрудников в установленных законодательством случаях, в том числе при назначении временной администрации в ПУРЦБ или в случае несостоятельности ПУРЦБ в целях защиты интересов клиентов ПУРЦБ.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B30757">
        <w:rPr>
          <w:rFonts w:ascii="Times New Roman" w:hAnsi="Times New Roman" w:cs="Times New Roman"/>
        </w:rPr>
        <w:t>В число функций такого представителя уполномоченного органа рекомендуется включить:</w:t>
      </w:r>
    </w:p>
    <w:p w:rsidR="00210B9C" w:rsidRPr="0011025F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11025F">
        <w:rPr>
          <w:rFonts w:ascii="Times New Roman" w:hAnsi="Times New Roman" w:cs="Times New Roman"/>
        </w:rPr>
        <w:t>анализ финансового состояния ПУРЦБ;</w:t>
      </w:r>
    </w:p>
    <w:p w:rsidR="00210B9C" w:rsidRPr="0011025F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11025F">
        <w:rPr>
          <w:rFonts w:ascii="Times New Roman" w:hAnsi="Times New Roman" w:cs="Times New Roman"/>
        </w:rPr>
        <w:t>контроль соблюдения нормативных правовых актов, запросов, предписаний, требований уполномоченного органа;</w:t>
      </w:r>
    </w:p>
    <w:p w:rsidR="00210B9C" w:rsidRPr="0011025F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предложений</w:t>
      </w:r>
      <w:r w:rsidRPr="0011025F">
        <w:rPr>
          <w:rFonts w:ascii="Times New Roman" w:hAnsi="Times New Roman" w:cs="Times New Roman"/>
        </w:rPr>
        <w:t xml:space="preserve"> о проведении проверки в данном ПУРЦБ;</w:t>
      </w:r>
    </w:p>
    <w:p w:rsidR="00210B9C" w:rsidRPr="0011025F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11025F">
        <w:rPr>
          <w:rFonts w:ascii="Times New Roman" w:hAnsi="Times New Roman" w:cs="Times New Roman"/>
        </w:rPr>
        <w:t>присутствие в качестве наблюдателя на заседаниях правления, совета директоров, постоянно либо временно действующих комиссий (комитет</w:t>
      </w:r>
      <w:r>
        <w:rPr>
          <w:rFonts w:ascii="Times New Roman" w:hAnsi="Times New Roman" w:cs="Times New Roman"/>
        </w:rPr>
        <w:t>ы</w:t>
      </w:r>
      <w:r w:rsidRPr="0011025F">
        <w:rPr>
          <w:rFonts w:ascii="Times New Roman" w:hAnsi="Times New Roman" w:cs="Times New Roman"/>
        </w:rPr>
        <w:t>, рабочи</w:t>
      </w:r>
      <w:r>
        <w:rPr>
          <w:rFonts w:ascii="Times New Roman" w:hAnsi="Times New Roman" w:cs="Times New Roman"/>
        </w:rPr>
        <w:t>е</w:t>
      </w:r>
      <w:r w:rsidRPr="0011025F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ы</w:t>
      </w:r>
      <w:r w:rsidRPr="0011025F">
        <w:rPr>
          <w:rFonts w:ascii="Times New Roman" w:hAnsi="Times New Roman" w:cs="Times New Roman"/>
        </w:rPr>
        <w:t>) ПУРЦБ;</w:t>
      </w:r>
    </w:p>
    <w:p w:rsidR="00210B9C" w:rsidRPr="0011025F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11025F">
        <w:rPr>
          <w:rFonts w:ascii="Times New Roman" w:hAnsi="Times New Roman" w:cs="Times New Roman"/>
        </w:rPr>
        <w:t>присутствие на общем собрании акционеров (участников) ПУРЦБ в качестве наблюдателя без права голоса и выражения мнения по вопросам повестки дня общего собрания акционеров (участников).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18. </w:t>
      </w:r>
      <w:r w:rsidRPr="00B30757">
        <w:rPr>
          <w:rFonts w:ascii="Times New Roman" w:hAnsi="Times New Roman" w:cs="Times New Roman"/>
        </w:rPr>
        <w:t>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предусмотреть в своем законодательстве возможность уполномоченного органа назначать временную администрацию (временного управляющего) в ПУРЦБ в случае выявления неудовлетворительного финансового состояния/неплатежеспособности такого ПУРЦБ.</w:t>
      </w:r>
    </w:p>
    <w:p w:rsidR="00210B9C" w:rsidRPr="00B30757" w:rsidRDefault="00210B9C" w:rsidP="004D0EFB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Кроме того, в полномочиях такой временной администрации рекомендуется закрепить ее право на получение информации о деятельности ПУРЦБ, а также соответствующих документов.</w:t>
      </w:r>
    </w:p>
    <w:p w:rsidR="00210B9C" w:rsidRPr="00B30757" w:rsidRDefault="00210B9C" w:rsidP="004D0EFB">
      <w:pPr>
        <w:spacing w:line="276" w:lineRule="auto"/>
        <w:ind w:firstLine="720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В связи с основаниями назначения временной администрации в ее функции рекомендуется включить прежде всего следующие: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обеспечение сохранности активов/имущества ПУРЦБ;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право принимать решение о приостановлении полномочий органов управления ПУРЦБ или право обращаться в уполномоченный орган или в суд с соответствующим ходатайством.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19. </w:t>
      </w:r>
      <w:r w:rsidRPr="00B30757">
        <w:rPr>
          <w:rFonts w:ascii="Times New Roman" w:hAnsi="Times New Roman" w:cs="Times New Roman"/>
        </w:rPr>
        <w:t>В качестве основных последствий аннулирования лицензии/разрешения на осуществление профессиональной деятельности на РЦБ государствам</w:t>
      </w:r>
      <w:r>
        <w:rPr>
          <w:rFonts w:ascii="Times New Roman" w:hAnsi="Times New Roman" w:cs="Times New Roman"/>
        </w:rPr>
        <w:t xml:space="preserve"> – </w:t>
      </w:r>
      <w:r w:rsidRPr="00B30757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СНГ</w:t>
      </w:r>
      <w:r w:rsidRPr="00B30757">
        <w:rPr>
          <w:rFonts w:ascii="Times New Roman" w:hAnsi="Times New Roman" w:cs="Times New Roman"/>
        </w:rPr>
        <w:t xml:space="preserve"> рекомендуется закрепить следующ</w:t>
      </w:r>
      <w:r>
        <w:rPr>
          <w:rFonts w:ascii="Times New Roman" w:hAnsi="Times New Roman" w:cs="Times New Roman"/>
        </w:rPr>
        <w:t>и</w:t>
      </w:r>
      <w:r w:rsidRPr="00B3075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требования</w:t>
      </w:r>
      <w:r w:rsidRPr="00B30757">
        <w:rPr>
          <w:rFonts w:ascii="Times New Roman" w:hAnsi="Times New Roman" w:cs="Times New Roman"/>
        </w:rPr>
        <w:t>: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немедленно прекратить осуществление соответствующего вида профессиональной деятельности на РЦБ;</w:t>
      </w:r>
    </w:p>
    <w:p w:rsidR="00210B9C" w:rsidRPr="00B30757" w:rsidRDefault="00210B9C" w:rsidP="0011025F">
      <w:pPr>
        <w:spacing w:line="276" w:lineRule="auto"/>
        <w:ind w:firstLine="709"/>
        <w:rPr>
          <w:rFonts w:ascii="Times New Roman" w:hAnsi="Times New Roman" w:cs="Times New Roman"/>
        </w:rPr>
      </w:pPr>
      <w:r w:rsidRPr="00B30757">
        <w:rPr>
          <w:rFonts w:ascii="Times New Roman" w:hAnsi="Times New Roman" w:cs="Times New Roman"/>
        </w:rPr>
        <w:t>в течение определенного срока передать лицензию/разрешение уполномоченному органу</w:t>
      </w:r>
      <w:r>
        <w:rPr>
          <w:rFonts w:ascii="Times New Roman" w:hAnsi="Times New Roman" w:cs="Times New Roman"/>
        </w:rPr>
        <w:t>,</w:t>
      </w:r>
      <w:r w:rsidRPr="00B30757">
        <w:rPr>
          <w:rFonts w:ascii="Times New Roman" w:hAnsi="Times New Roman" w:cs="Times New Roman"/>
        </w:rPr>
        <w:t xml:space="preserve"> ее/его выдавшему.</w:t>
      </w:r>
    </w:p>
    <w:p w:rsidR="00210B9C" w:rsidRPr="00B30757" w:rsidRDefault="00210B9C" w:rsidP="004D0EFB">
      <w:pPr>
        <w:spacing w:line="276" w:lineRule="auto"/>
        <w:rPr>
          <w:rFonts w:ascii="Times New Roman" w:hAnsi="Times New Roman" w:cs="Times New Roman"/>
        </w:rPr>
      </w:pPr>
    </w:p>
    <w:sectPr w:rsidR="00210B9C" w:rsidRPr="00B30757" w:rsidSect="00C45843">
      <w:headerReference w:type="default" r:id="rId7"/>
      <w:pgSz w:w="11907" w:h="16840" w:code="9"/>
      <w:pgMar w:top="1134" w:right="850" w:bottom="1134" w:left="1701" w:header="720" w:footer="720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B9C" w:rsidRDefault="00210B9C">
      <w:r>
        <w:separator/>
      </w:r>
    </w:p>
  </w:endnote>
  <w:endnote w:type="continuationSeparator" w:id="0">
    <w:p w:rsidR="00210B9C" w:rsidRDefault="0021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B9C" w:rsidRDefault="00210B9C">
      <w:r>
        <w:separator/>
      </w:r>
    </w:p>
  </w:footnote>
  <w:footnote w:type="continuationSeparator" w:id="0">
    <w:p w:rsidR="00210B9C" w:rsidRDefault="00210B9C">
      <w:r>
        <w:continuationSeparator/>
      </w:r>
    </w:p>
  </w:footnote>
  <w:footnote w:id="1">
    <w:p w:rsidR="00210B9C" w:rsidRDefault="00210B9C" w:rsidP="001F47A3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Проект данного документа был представлен на рассмотрение представителям уполномоченных органов по регулированию рынка ценных бумаг государств – участников СНГ в ходе девятнадцатого заседания Совета руководителей уполномоченных органов по регулированию рынков ценных бумаг государств – участников СНГ, состоявшегося 26 ноября 2015 года в г. Душанбе (Республика Таджикистан), и был доработан Банком России с учетом замечаний уполномоченных органов – членов Совета, поступивших по результатам заседания.</w:t>
      </w:r>
    </w:p>
  </w:footnote>
  <w:footnote w:id="2">
    <w:p w:rsidR="00210B9C" w:rsidRDefault="00210B9C">
      <w:pPr>
        <w:pStyle w:val="FootnoteText"/>
      </w:pPr>
      <w:r>
        <w:rPr>
          <w:rStyle w:val="FootnoteReference"/>
        </w:rPr>
        <w:footnoteRef/>
      </w:r>
      <w:r>
        <w:t xml:space="preserve"> З</w:t>
      </w:r>
      <w:r w:rsidRPr="00F761E0">
        <w:t>а исключением деятельности в сфере рынка коллективных инвестиций</w:t>
      </w:r>
      <w:r>
        <w:t>.</w:t>
      </w:r>
    </w:p>
  </w:footnote>
  <w:footnote w:id="3">
    <w:p w:rsidR="00210B9C" w:rsidRDefault="00210B9C" w:rsidP="001C05BB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Требования к собственным средствам ПУРЦБ – это регуляторные требования о наличии у ПУРЦБ собственных средств (капитала) ПУРЦБ в размере не ниже минимального</w:t>
      </w:r>
      <w:r w:rsidRPr="001C05BB">
        <w:t xml:space="preserve"> размер</w:t>
      </w:r>
      <w:r>
        <w:t>а</w:t>
      </w:r>
      <w:r w:rsidRPr="001C05BB">
        <w:t xml:space="preserve"> собственных средств </w:t>
      </w:r>
      <w:r>
        <w:t>(капитала) ПУРЦБ и (или) не ниже величины, обеспечивающей соблюдение норматива достаточности собственных средств (капитала) ПУРЦБ.</w:t>
      </w:r>
    </w:p>
  </w:footnote>
  <w:footnote w:id="4">
    <w:p w:rsidR="00210B9C" w:rsidRPr="00E133C7" w:rsidRDefault="00210B9C" w:rsidP="00F10F96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Style w:val="FootnoteReference"/>
          <w:rFonts w:cs="Times New Roman CYR"/>
        </w:rPr>
        <w:footnoteRef/>
      </w:r>
      <w:r w:rsidRPr="00E133C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Должностное лицо ПУРЦБ – е</w:t>
      </w:r>
      <w:r w:rsidRPr="00E133C7">
        <w:rPr>
          <w:rFonts w:ascii="Times New Roman" w:hAnsi="Times New Roman" w:cs="Times New Roman"/>
          <w:sz w:val="21"/>
          <w:szCs w:val="21"/>
        </w:rPr>
        <w:t>диноличны</w:t>
      </w:r>
      <w:r>
        <w:rPr>
          <w:rFonts w:ascii="Times New Roman" w:hAnsi="Times New Roman" w:cs="Times New Roman"/>
          <w:sz w:val="21"/>
          <w:szCs w:val="21"/>
        </w:rPr>
        <w:t>й</w:t>
      </w:r>
      <w:r w:rsidRPr="00E133C7">
        <w:rPr>
          <w:rFonts w:ascii="Times New Roman" w:hAnsi="Times New Roman" w:cs="Times New Roman"/>
          <w:sz w:val="21"/>
          <w:szCs w:val="21"/>
        </w:rPr>
        <w:t xml:space="preserve"> исполнительн</w:t>
      </w:r>
      <w:r>
        <w:rPr>
          <w:rFonts w:ascii="Times New Roman" w:hAnsi="Times New Roman" w:cs="Times New Roman"/>
          <w:sz w:val="21"/>
          <w:szCs w:val="21"/>
        </w:rPr>
        <w:t>ый</w:t>
      </w:r>
      <w:r w:rsidRPr="00E133C7">
        <w:rPr>
          <w:rFonts w:ascii="Times New Roman" w:hAnsi="Times New Roman" w:cs="Times New Roman"/>
          <w:sz w:val="21"/>
          <w:szCs w:val="21"/>
        </w:rPr>
        <w:t xml:space="preserve"> орган</w:t>
      </w:r>
      <w:r>
        <w:rPr>
          <w:rFonts w:ascii="Times New Roman" w:hAnsi="Times New Roman" w:cs="Times New Roman"/>
          <w:sz w:val="21"/>
          <w:szCs w:val="21"/>
        </w:rPr>
        <w:t>, руководитель</w:t>
      </w:r>
      <w:r w:rsidRPr="00E133C7">
        <w:rPr>
          <w:rFonts w:ascii="Times New Roman" w:hAnsi="Times New Roman" w:cs="Times New Roman"/>
          <w:sz w:val="21"/>
          <w:szCs w:val="21"/>
        </w:rPr>
        <w:t xml:space="preserve"> филиала </w:t>
      </w:r>
      <w:r>
        <w:rPr>
          <w:rFonts w:ascii="Times New Roman" w:hAnsi="Times New Roman" w:cs="Times New Roman"/>
          <w:sz w:val="21"/>
          <w:szCs w:val="21"/>
        </w:rPr>
        <w:t>ПУРЦБ, руководитель</w:t>
      </w:r>
      <w:r w:rsidRPr="00E133C7">
        <w:rPr>
          <w:rFonts w:ascii="Times New Roman" w:hAnsi="Times New Roman" w:cs="Times New Roman"/>
          <w:sz w:val="21"/>
          <w:szCs w:val="21"/>
        </w:rPr>
        <w:t xml:space="preserve"> службы </w:t>
      </w:r>
      <w:r>
        <w:rPr>
          <w:rFonts w:ascii="Times New Roman" w:hAnsi="Times New Roman" w:cs="Times New Roman"/>
          <w:sz w:val="21"/>
          <w:szCs w:val="21"/>
        </w:rPr>
        <w:t>внутреннего контроля, контролер</w:t>
      </w:r>
      <w:r w:rsidRPr="00E133C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ПУРЦБ</w:t>
      </w:r>
      <w:r w:rsidRPr="00E133C7">
        <w:rPr>
          <w:rFonts w:ascii="Times New Roman" w:hAnsi="Times New Roman" w:cs="Times New Roman"/>
          <w:sz w:val="21"/>
          <w:szCs w:val="21"/>
        </w:rPr>
        <w:t>, руководителем службы внутреннего аудита, должностным лицом, ответственным за организацию системы управления рисками (руководителем отдельного структурного подразделения, ответственного за организацию системы уп</w:t>
      </w:r>
      <w:r>
        <w:rPr>
          <w:rFonts w:ascii="Times New Roman" w:hAnsi="Times New Roman" w:cs="Times New Roman"/>
          <w:sz w:val="21"/>
          <w:szCs w:val="21"/>
        </w:rPr>
        <w:t>равления рисками), руководитель</w:t>
      </w:r>
      <w:r w:rsidRPr="00E133C7">
        <w:rPr>
          <w:rFonts w:ascii="Times New Roman" w:hAnsi="Times New Roman" w:cs="Times New Roman"/>
          <w:sz w:val="21"/>
          <w:szCs w:val="21"/>
        </w:rPr>
        <w:t xml:space="preserve"> структурного подразделения кредитной организации, созданного для осуществления деятельности </w:t>
      </w:r>
      <w:r>
        <w:rPr>
          <w:rFonts w:ascii="Times New Roman" w:hAnsi="Times New Roman" w:cs="Times New Roman"/>
          <w:sz w:val="21"/>
          <w:szCs w:val="21"/>
        </w:rPr>
        <w:t>ПУРЦБ</w:t>
      </w:r>
      <w:r w:rsidRPr="00E133C7">
        <w:rPr>
          <w:rFonts w:ascii="Times New Roman" w:hAnsi="Times New Roman" w:cs="Times New Roman"/>
          <w:sz w:val="21"/>
          <w:szCs w:val="21"/>
        </w:rPr>
        <w:t xml:space="preserve">, или руководителем отдельного структурного подразделения </w:t>
      </w:r>
      <w:r>
        <w:rPr>
          <w:rFonts w:ascii="Times New Roman" w:hAnsi="Times New Roman" w:cs="Times New Roman"/>
          <w:sz w:val="21"/>
          <w:szCs w:val="21"/>
        </w:rPr>
        <w:t>ПУРЦБ</w:t>
      </w:r>
      <w:r w:rsidRPr="00E133C7">
        <w:rPr>
          <w:rFonts w:ascii="Times New Roman" w:hAnsi="Times New Roman" w:cs="Times New Roman"/>
          <w:sz w:val="21"/>
          <w:szCs w:val="21"/>
        </w:rPr>
        <w:t xml:space="preserve"> в случае совмещения указанным </w:t>
      </w:r>
      <w:r>
        <w:rPr>
          <w:rFonts w:ascii="Times New Roman" w:hAnsi="Times New Roman" w:cs="Times New Roman"/>
          <w:sz w:val="21"/>
          <w:szCs w:val="21"/>
        </w:rPr>
        <w:t>ПУРЦБ</w:t>
      </w:r>
      <w:r w:rsidRPr="00E133C7">
        <w:rPr>
          <w:rFonts w:ascii="Times New Roman" w:hAnsi="Times New Roman" w:cs="Times New Roman"/>
          <w:sz w:val="21"/>
          <w:szCs w:val="21"/>
        </w:rPr>
        <w:t xml:space="preserve"> профессиональной деятельности на </w:t>
      </w:r>
      <w:r>
        <w:rPr>
          <w:rFonts w:ascii="Times New Roman" w:hAnsi="Times New Roman" w:cs="Times New Roman"/>
          <w:sz w:val="21"/>
          <w:szCs w:val="21"/>
        </w:rPr>
        <w:t>РЦБ.</w:t>
      </w:r>
    </w:p>
    <w:p w:rsidR="00210B9C" w:rsidRDefault="00210B9C" w:rsidP="00F10F96">
      <w:pPr>
        <w:spacing w:line="240" w:lineRule="auto"/>
      </w:pPr>
    </w:p>
  </w:footnote>
  <w:footnote w:id="5">
    <w:p w:rsidR="00210B9C" w:rsidRDefault="00210B9C" w:rsidP="00C51210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Информация о структуре собственности ПУРЦБ включает сведения о физических и юридических лицах, владеющих прямо и (или) косвенно голосующими акциями (долями) в уставном капитале ПУРЦБ, а также о доле такого владения.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9C" w:rsidRPr="003204B3" w:rsidRDefault="00210B9C" w:rsidP="003204B3">
    <w:pPr>
      <w:pStyle w:val="Header"/>
      <w:jc w:val="center"/>
      <w:rPr>
        <w:rFonts w:ascii="Times New Roman" w:hAnsi="Times New Roman"/>
        <w:szCs w:val="30"/>
      </w:rPr>
    </w:pPr>
    <w:r w:rsidRPr="003204B3">
      <w:rPr>
        <w:sz w:val="24"/>
      </w:rPr>
      <w:fldChar w:fldCharType="begin"/>
    </w:r>
    <w:r w:rsidRPr="003204B3">
      <w:rPr>
        <w:sz w:val="24"/>
      </w:rPr>
      <w:instrText>PAGE   \* MERGEFORMAT</w:instrText>
    </w:r>
    <w:r w:rsidRPr="003204B3">
      <w:rPr>
        <w:sz w:val="24"/>
      </w:rPr>
      <w:fldChar w:fldCharType="separate"/>
    </w:r>
    <w:r>
      <w:rPr>
        <w:noProof/>
        <w:sz w:val="24"/>
      </w:rPr>
      <w:t>7</w:t>
    </w:r>
    <w:r w:rsidRPr="003204B3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1F4"/>
    <w:multiLevelType w:val="hybridMultilevel"/>
    <w:tmpl w:val="D2BC0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64216F"/>
    <w:multiLevelType w:val="hybridMultilevel"/>
    <w:tmpl w:val="B1F6B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3CB8"/>
    <w:multiLevelType w:val="hybridMultilevel"/>
    <w:tmpl w:val="2C24CD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31476A"/>
    <w:multiLevelType w:val="hybridMultilevel"/>
    <w:tmpl w:val="C70CCA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A7B4F0B"/>
    <w:multiLevelType w:val="hybridMultilevel"/>
    <w:tmpl w:val="8EEC9A94"/>
    <w:lvl w:ilvl="0" w:tplc="D9E6EFB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B3F28C0"/>
    <w:multiLevelType w:val="hybridMultilevel"/>
    <w:tmpl w:val="1034F9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B426FD"/>
    <w:multiLevelType w:val="hybridMultilevel"/>
    <w:tmpl w:val="72AA56F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0E492947"/>
    <w:multiLevelType w:val="hybridMultilevel"/>
    <w:tmpl w:val="90C8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91A3E"/>
    <w:multiLevelType w:val="hybridMultilevel"/>
    <w:tmpl w:val="FE92E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0A3442"/>
    <w:multiLevelType w:val="hybridMultilevel"/>
    <w:tmpl w:val="1B04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D636A"/>
    <w:multiLevelType w:val="hybridMultilevel"/>
    <w:tmpl w:val="63DA18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9727B2"/>
    <w:multiLevelType w:val="hybridMultilevel"/>
    <w:tmpl w:val="15420412"/>
    <w:lvl w:ilvl="0" w:tplc="44C00CB4">
      <w:start w:val="1"/>
      <w:numFmt w:val="decimal"/>
      <w:lvlText w:val="%1."/>
      <w:lvlJc w:val="left"/>
      <w:pPr>
        <w:ind w:left="24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CC146FE"/>
    <w:multiLevelType w:val="hybridMultilevel"/>
    <w:tmpl w:val="84424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3F30C7"/>
    <w:multiLevelType w:val="hybridMultilevel"/>
    <w:tmpl w:val="E10065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B1099"/>
    <w:multiLevelType w:val="hybridMultilevel"/>
    <w:tmpl w:val="C7E40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034A8D"/>
    <w:multiLevelType w:val="hybridMultilevel"/>
    <w:tmpl w:val="896C8970"/>
    <w:lvl w:ilvl="0" w:tplc="E20EF798">
      <w:start w:val="1"/>
      <w:numFmt w:val="decimal"/>
      <w:lvlText w:val="%1."/>
      <w:lvlJc w:val="left"/>
      <w:pPr>
        <w:ind w:left="244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C0D284F"/>
    <w:multiLevelType w:val="hybridMultilevel"/>
    <w:tmpl w:val="1C3A4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06902"/>
    <w:multiLevelType w:val="hybridMultilevel"/>
    <w:tmpl w:val="6C36B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B026A5"/>
    <w:multiLevelType w:val="hybridMultilevel"/>
    <w:tmpl w:val="B19E67D2"/>
    <w:lvl w:ilvl="0" w:tplc="D5F6DF08">
      <w:start w:val="1"/>
      <w:numFmt w:val="decimal"/>
      <w:lvlText w:val="%1)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97D30F2"/>
    <w:multiLevelType w:val="hybridMultilevel"/>
    <w:tmpl w:val="EE666C82"/>
    <w:lvl w:ilvl="0" w:tplc="D5F6DF08">
      <w:start w:val="1"/>
      <w:numFmt w:val="decimal"/>
      <w:lvlText w:val="%1)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AD30010"/>
    <w:multiLevelType w:val="hybridMultilevel"/>
    <w:tmpl w:val="3C867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B41C84"/>
    <w:multiLevelType w:val="hybridMultilevel"/>
    <w:tmpl w:val="6FB4A7C8"/>
    <w:lvl w:ilvl="0" w:tplc="D5F6DF08">
      <w:start w:val="1"/>
      <w:numFmt w:val="decimal"/>
      <w:lvlText w:val="%1)"/>
      <w:lvlJc w:val="left"/>
      <w:pPr>
        <w:ind w:left="24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F084C30"/>
    <w:multiLevelType w:val="hybridMultilevel"/>
    <w:tmpl w:val="4738B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A470E0"/>
    <w:multiLevelType w:val="hybridMultilevel"/>
    <w:tmpl w:val="D78E07BA"/>
    <w:lvl w:ilvl="0" w:tplc="44C00CB4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B263ABB"/>
    <w:multiLevelType w:val="hybridMultilevel"/>
    <w:tmpl w:val="0EAEACE6"/>
    <w:lvl w:ilvl="0" w:tplc="AA60BD22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B386360"/>
    <w:multiLevelType w:val="hybridMultilevel"/>
    <w:tmpl w:val="83B0751A"/>
    <w:lvl w:ilvl="0" w:tplc="6D1E965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BE3037C"/>
    <w:multiLevelType w:val="hybridMultilevel"/>
    <w:tmpl w:val="BCF46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24138D"/>
    <w:multiLevelType w:val="hybridMultilevel"/>
    <w:tmpl w:val="6C9AD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DA02BCF"/>
    <w:multiLevelType w:val="hybridMultilevel"/>
    <w:tmpl w:val="8056ECBE"/>
    <w:lvl w:ilvl="0" w:tplc="EACE761C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05C0E3B"/>
    <w:multiLevelType w:val="hybridMultilevel"/>
    <w:tmpl w:val="F04C34A0"/>
    <w:lvl w:ilvl="0" w:tplc="E89C415C">
      <w:start w:val="1"/>
      <w:numFmt w:val="decimal"/>
      <w:lvlText w:val="%1)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5945185"/>
    <w:multiLevelType w:val="hybridMultilevel"/>
    <w:tmpl w:val="254A10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577A3383"/>
    <w:multiLevelType w:val="hybridMultilevel"/>
    <w:tmpl w:val="B4664F2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53E5442"/>
    <w:multiLevelType w:val="hybridMultilevel"/>
    <w:tmpl w:val="0B8E99D6"/>
    <w:lvl w:ilvl="0" w:tplc="B53EBEAA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7AF7B8B"/>
    <w:multiLevelType w:val="hybridMultilevel"/>
    <w:tmpl w:val="8E1C4AD8"/>
    <w:lvl w:ilvl="0" w:tplc="D5F6DF08">
      <w:start w:val="1"/>
      <w:numFmt w:val="decimal"/>
      <w:lvlText w:val="%1)"/>
      <w:lvlJc w:val="left"/>
      <w:pPr>
        <w:ind w:left="24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8E5672F"/>
    <w:multiLevelType w:val="hybridMultilevel"/>
    <w:tmpl w:val="938C003C"/>
    <w:lvl w:ilvl="0" w:tplc="0186C8FC">
      <w:start w:val="1"/>
      <w:numFmt w:val="decimal"/>
      <w:lvlText w:val="%1."/>
      <w:lvlJc w:val="left"/>
      <w:pPr>
        <w:ind w:left="238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697F6BFE"/>
    <w:multiLevelType w:val="hybridMultilevel"/>
    <w:tmpl w:val="5AA87A00"/>
    <w:lvl w:ilvl="0" w:tplc="E20EF798">
      <w:start w:val="1"/>
      <w:numFmt w:val="decimal"/>
      <w:lvlText w:val="%1."/>
      <w:lvlJc w:val="left"/>
      <w:pPr>
        <w:ind w:left="244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AEF2E9D"/>
    <w:multiLevelType w:val="hybridMultilevel"/>
    <w:tmpl w:val="D1D44312"/>
    <w:lvl w:ilvl="0" w:tplc="E89C415C">
      <w:start w:val="1"/>
      <w:numFmt w:val="decimal"/>
      <w:lvlText w:val="%1)"/>
      <w:lvlJc w:val="left"/>
      <w:pPr>
        <w:ind w:left="24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51629E5"/>
    <w:multiLevelType w:val="hybridMultilevel"/>
    <w:tmpl w:val="C1267F34"/>
    <w:lvl w:ilvl="0" w:tplc="6D1E965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B743E3"/>
    <w:multiLevelType w:val="hybridMultilevel"/>
    <w:tmpl w:val="C8AACD70"/>
    <w:lvl w:ilvl="0" w:tplc="44C00CB4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AC6502D"/>
    <w:multiLevelType w:val="hybridMultilevel"/>
    <w:tmpl w:val="8A3ED314"/>
    <w:lvl w:ilvl="0" w:tplc="84D8E7D4">
      <w:start w:val="1"/>
      <w:numFmt w:val="decimal"/>
      <w:lvlText w:val="%1."/>
      <w:lvlJc w:val="left"/>
      <w:pPr>
        <w:ind w:left="2013" w:hanging="10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EFD73CE"/>
    <w:multiLevelType w:val="hybridMultilevel"/>
    <w:tmpl w:val="8CF07D06"/>
    <w:lvl w:ilvl="0" w:tplc="D9E6EFB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F861C96"/>
    <w:multiLevelType w:val="hybridMultilevel"/>
    <w:tmpl w:val="CDC47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7"/>
  </w:num>
  <w:num w:numId="5">
    <w:abstractNumId w:val="31"/>
  </w:num>
  <w:num w:numId="6">
    <w:abstractNumId w:val="39"/>
  </w:num>
  <w:num w:numId="7">
    <w:abstractNumId w:val="16"/>
  </w:num>
  <w:num w:numId="8">
    <w:abstractNumId w:val="25"/>
  </w:num>
  <w:num w:numId="9">
    <w:abstractNumId w:val="37"/>
  </w:num>
  <w:num w:numId="10">
    <w:abstractNumId w:val="28"/>
  </w:num>
  <w:num w:numId="11">
    <w:abstractNumId w:val="34"/>
  </w:num>
  <w:num w:numId="12">
    <w:abstractNumId w:val="13"/>
  </w:num>
  <w:num w:numId="13">
    <w:abstractNumId w:val="4"/>
  </w:num>
  <w:num w:numId="14">
    <w:abstractNumId w:val="40"/>
  </w:num>
  <w:num w:numId="15">
    <w:abstractNumId w:val="23"/>
  </w:num>
  <w:num w:numId="16">
    <w:abstractNumId w:val="2"/>
  </w:num>
  <w:num w:numId="17">
    <w:abstractNumId w:val="11"/>
  </w:num>
  <w:num w:numId="18">
    <w:abstractNumId w:val="38"/>
  </w:num>
  <w:num w:numId="19">
    <w:abstractNumId w:val="27"/>
  </w:num>
  <w:num w:numId="20">
    <w:abstractNumId w:val="29"/>
  </w:num>
  <w:num w:numId="21">
    <w:abstractNumId w:val="36"/>
  </w:num>
  <w:num w:numId="22">
    <w:abstractNumId w:val="24"/>
  </w:num>
  <w:num w:numId="23">
    <w:abstractNumId w:val="10"/>
  </w:num>
  <w:num w:numId="24">
    <w:abstractNumId w:val="18"/>
  </w:num>
  <w:num w:numId="25">
    <w:abstractNumId w:val="33"/>
  </w:num>
  <w:num w:numId="26">
    <w:abstractNumId w:val="5"/>
  </w:num>
  <w:num w:numId="27">
    <w:abstractNumId w:val="19"/>
  </w:num>
  <w:num w:numId="28">
    <w:abstractNumId w:val="21"/>
  </w:num>
  <w:num w:numId="29">
    <w:abstractNumId w:val="32"/>
  </w:num>
  <w:num w:numId="30">
    <w:abstractNumId w:val="30"/>
  </w:num>
  <w:num w:numId="31">
    <w:abstractNumId w:val="17"/>
  </w:num>
  <w:num w:numId="32">
    <w:abstractNumId w:val="1"/>
  </w:num>
  <w:num w:numId="33">
    <w:abstractNumId w:val="35"/>
  </w:num>
  <w:num w:numId="34">
    <w:abstractNumId w:val="12"/>
  </w:num>
  <w:num w:numId="35">
    <w:abstractNumId w:val="15"/>
  </w:num>
  <w:num w:numId="36">
    <w:abstractNumId w:val="8"/>
  </w:num>
  <w:num w:numId="37">
    <w:abstractNumId w:val="6"/>
  </w:num>
  <w:num w:numId="38">
    <w:abstractNumId w:val="0"/>
  </w:num>
  <w:num w:numId="39">
    <w:abstractNumId w:val="14"/>
  </w:num>
  <w:num w:numId="40">
    <w:abstractNumId w:val="26"/>
  </w:num>
  <w:num w:numId="41">
    <w:abstractNumId w:val="22"/>
  </w:num>
  <w:num w:numId="42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0F1"/>
    <w:rsid w:val="00003EF2"/>
    <w:rsid w:val="00010E51"/>
    <w:rsid w:val="00014488"/>
    <w:rsid w:val="00014DC7"/>
    <w:rsid w:val="00020CEB"/>
    <w:rsid w:val="00022931"/>
    <w:rsid w:val="000230AC"/>
    <w:rsid w:val="00025EE7"/>
    <w:rsid w:val="00027FD7"/>
    <w:rsid w:val="0003009C"/>
    <w:rsid w:val="00037231"/>
    <w:rsid w:val="00037D5B"/>
    <w:rsid w:val="000568FC"/>
    <w:rsid w:val="00057B01"/>
    <w:rsid w:val="00062C5F"/>
    <w:rsid w:val="00073ED0"/>
    <w:rsid w:val="00077529"/>
    <w:rsid w:val="0009053D"/>
    <w:rsid w:val="00090D8A"/>
    <w:rsid w:val="000A49FF"/>
    <w:rsid w:val="000A518E"/>
    <w:rsid w:val="000A538A"/>
    <w:rsid w:val="000A6FA5"/>
    <w:rsid w:val="000B02FF"/>
    <w:rsid w:val="000B1EDC"/>
    <w:rsid w:val="000B6020"/>
    <w:rsid w:val="000B6A98"/>
    <w:rsid w:val="000B7E53"/>
    <w:rsid w:val="000C3F9E"/>
    <w:rsid w:val="000C66B8"/>
    <w:rsid w:val="000D0A8A"/>
    <w:rsid w:val="000D427C"/>
    <w:rsid w:val="000E2762"/>
    <w:rsid w:val="000E7A56"/>
    <w:rsid w:val="000E7CF2"/>
    <w:rsid w:val="000F2517"/>
    <w:rsid w:val="000F3CE8"/>
    <w:rsid w:val="000F4271"/>
    <w:rsid w:val="00102338"/>
    <w:rsid w:val="00102527"/>
    <w:rsid w:val="001028DD"/>
    <w:rsid w:val="00106867"/>
    <w:rsid w:val="0011025F"/>
    <w:rsid w:val="00135073"/>
    <w:rsid w:val="001367AA"/>
    <w:rsid w:val="001424FE"/>
    <w:rsid w:val="00153782"/>
    <w:rsid w:val="0015630F"/>
    <w:rsid w:val="001600F1"/>
    <w:rsid w:val="00160F59"/>
    <w:rsid w:val="001617A1"/>
    <w:rsid w:val="00164F3B"/>
    <w:rsid w:val="00172F9E"/>
    <w:rsid w:val="001823A7"/>
    <w:rsid w:val="0018584F"/>
    <w:rsid w:val="00197121"/>
    <w:rsid w:val="00197846"/>
    <w:rsid w:val="001A17BC"/>
    <w:rsid w:val="001A3EFD"/>
    <w:rsid w:val="001A4F15"/>
    <w:rsid w:val="001B00D5"/>
    <w:rsid w:val="001B6343"/>
    <w:rsid w:val="001B74D6"/>
    <w:rsid w:val="001C05BB"/>
    <w:rsid w:val="001C4EE1"/>
    <w:rsid w:val="001E13CB"/>
    <w:rsid w:val="001E46CB"/>
    <w:rsid w:val="001E7DD3"/>
    <w:rsid w:val="001F212B"/>
    <w:rsid w:val="001F3722"/>
    <w:rsid w:val="001F47A3"/>
    <w:rsid w:val="00203110"/>
    <w:rsid w:val="00210B9C"/>
    <w:rsid w:val="002115EF"/>
    <w:rsid w:val="00213E4C"/>
    <w:rsid w:val="00220D4B"/>
    <w:rsid w:val="002249AA"/>
    <w:rsid w:val="00224B98"/>
    <w:rsid w:val="00226A63"/>
    <w:rsid w:val="00232D9D"/>
    <w:rsid w:val="0023321E"/>
    <w:rsid w:val="0024450C"/>
    <w:rsid w:val="002506A8"/>
    <w:rsid w:val="0025583B"/>
    <w:rsid w:val="00283DEB"/>
    <w:rsid w:val="002D4618"/>
    <w:rsid w:val="002E45FC"/>
    <w:rsid w:val="002E4DA2"/>
    <w:rsid w:val="002E6CB2"/>
    <w:rsid w:val="002F668F"/>
    <w:rsid w:val="002F6836"/>
    <w:rsid w:val="00305048"/>
    <w:rsid w:val="00305846"/>
    <w:rsid w:val="003127B6"/>
    <w:rsid w:val="00313B47"/>
    <w:rsid w:val="0032047A"/>
    <w:rsid w:val="003204B3"/>
    <w:rsid w:val="00321FDF"/>
    <w:rsid w:val="00325721"/>
    <w:rsid w:val="00331D31"/>
    <w:rsid w:val="00347488"/>
    <w:rsid w:val="00351561"/>
    <w:rsid w:val="003623A8"/>
    <w:rsid w:val="003641A1"/>
    <w:rsid w:val="003641F5"/>
    <w:rsid w:val="00365AA2"/>
    <w:rsid w:val="00371421"/>
    <w:rsid w:val="00371C19"/>
    <w:rsid w:val="00371EC2"/>
    <w:rsid w:val="0038733B"/>
    <w:rsid w:val="00391760"/>
    <w:rsid w:val="00393D32"/>
    <w:rsid w:val="003A4B9A"/>
    <w:rsid w:val="003B095E"/>
    <w:rsid w:val="003B0CF5"/>
    <w:rsid w:val="003B2A08"/>
    <w:rsid w:val="003B6987"/>
    <w:rsid w:val="003C23A3"/>
    <w:rsid w:val="003C6DA8"/>
    <w:rsid w:val="003D0332"/>
    <w:rsid w:val="003F47A8"/>
    <w:rsid w:val="003F537B"/>
    <w:rsid w:val="003F54C6"/>
    <w:rsid w:val="003F5BE4"/>
    <w:rsid w:val="003F67BB"/>
    <w:rsid w:val="00401AB4"/>
    <w:rsid w:val="004116DC"/>
    <w:rsid w:val="00417721"/>
    <w:rsid w:val="004311CC"/>
    <w:rsid w:val="004400FF"/>
    <w:rsid w:val="0044056F"/>
    <w:rsid w:val="004412F5"/>
    <w:rsid w:val="004468FF"/>
    <w:rsid w:val="00456486"/>
    <w:rsid w:val="00470DE5"/>
    <w:rsid w:val="00471CB5"/>
    <w:rsid w:val="0048022C"/>
    <w:rsid w:val="00480ABC"/>
    <w:rsid w:val="00482D52"/>
    <w:rsid w:val="004834AA"/>
    <w:rsid w:val="004868D1"/>
    <w:rsid w:val="0048765B"/>
    <w:rsid w:val="0049449B"/>
    <w:rsid w:val="00494697"/>
    <w:rsid w:val="004A1050"/>
    <w:rsid w:val="004A7A1A"/>
    <w:rsid w:val="004B2B6D"/>
    <w:rsid w:val="004B58D9"/>
    <w:rsid w:val="004D0EFB"/>
    <w:rsid w:val="004D532D"/>
    <w:rsid w:val="0050258F"/>
    <w:rsid w:val="005133F5"/>
    <w:rsid w:val="00521100"/>
    <w:rsid w:val="0055614D"/>
    <w:rsid w:val="00565F14"/>
    <w:rsid w:val="00577D39"/>
    <w:rsid w:val="00582F52"/>
    <w:rsid w:val="00586023"/>
    <w:rsid w:val="00591418"/>
    <w:rsid w:val="005B5D3D"/>
    <w:rsid w:val="005C1493"/>
    <w:rsid w:val="005D095B"/>
    <w:rsid w:val="005D6478"/>
    <w:rsid w:val="00600345"/>
    <w:rsid w:val="00614465"/>
    <w:rsid w:val="006473D3"/>
    <w:rsid w:val="006520D6"/>
    <w:rsid w:val="00660F26"/>
    <w:rsid w:val="0066224E"/>
    <w:rsid w:val="00667328"/>
    <w:rsid w:val="00680AEF"/>
    <w:rsid w:val="00685A3F"/>
    <w:rsid w:val="00687BCF"/>
    <w:rsid w:val="006B4584"/>
    <w:rsid w:val="006B724C"/>
    <w:rsid w:val="006C5ADA"/>
    <w:rsid w:val="006C7E95"/>
    <w:rsid w:val="006D152B"/>
    <w:rsid w:val="006D3055"/>
    <w:rsid w:val="006D3B57"/>
    <w:rsid w:val="006D4445"/>
    <w:rsid w:val="006F3D33"/>
    <w:rsid w:val="006F715C"/>
    <w:rsid w:val="006F7E23"/>
    <w:rsid w:val="00714298"/>
    <w:rsid w:val="00720240"/>
    <w:rsid w:val="00721F63"/>
    <w:rsid w:val="007536EF"/>
    <w:rsid w:val="00756910"/>
    <w:rsid w:val="0076660E"/>
    <w:rsid w:val="0077060B"/>
    <w:rsid w:val="00774CDE"/>
    <w:rsid w:val="00786414"/>
    <w:rsid w:val="007941D5"/>
    <w:rsid w:val="00794EF3"/>
    <w:rsid w:val="007A23ED"/>
    <w:rsid w:val="007C4992"/>
    <w:rsid w:val="007F0B15"/>
    <w:rsid w:val="007F0D10"/>
    <w:rsid w:val="007F5F04"/>
    <w:rsid w:val="008150F6"/>
    <w:rsid w:val="008218D9"/>
    <w:rsid w:val="00826B9A"/>
    <w:rsid w:val="008271F6"/>
    <w:rsid w:val="00830A42"/>
    <w:rsid w:val="008332CC"/>
    <w:rsid w:val="00851EB2"/>
    <w:rsid w:val="00861E67"/>
    <w:rsid w:val="00863231"/>
    <w:rsid w:val="008671D0"/>
    <w:rsid w:val="00884A7B"/>
    <w:rsid w:val="008A3AB0"/>
    <w:rsid w:val="008B2C8E"/>
    <w:rsid w:val="008B6BAB"/>
    <w:rsid w:val="008C0CD6"/>
    <w:rsid w:val="008E679C"/>
    <w:rsid w:val="008F461F"/>
    <w:rsid w:val="008F7061"/>
    <w:rsid w:val="009003E3"/>
    <w:rsid w:val="009048B3"/>
    <w:rsid w:val="00907706"/>
    <w:rsid w:val="009135C0"/>
    <w:rsid w:val="00917F25"/>
    <w:rsid w:val="009200D2"/>
    <w:rsid w:val="009214C8"/>
    <w:rsid w:val="00934193"/>
    <w:rsid w:val="00936C1F"/>
    <w:rsid w:val="00942D79"/>
    <w:rsid w:val="00946D8B"/>
    <w:rsid w:val="009636DF"/>
    <w:rsid w:val="00965630"/>
    <w:rsid w:val="009823F8"/>
    <w:rsid w:val="009846CA"/>
    <w:rsid w:val="00996D1C"/>
    <w:rsid w:val="009A2618"/>
    <w:rsid w:val="009B4C94"/>
    <w:rsid w:val="009B623F"/>
    <w:rsid w:val="009B63C2"/>
    <w:rsid w:val="009D16C1"/>
    <w:rsid w:val="009D32FC"/>
    <w:rsid w:val="009E3B02"/>
    <w:rsid w:val="009E6740"/>
    <w:rsid w:val="009F0113"/>
    <w:rsid w:val="009F55F1"/>
    <w:rsid w:val="00A154E5"/>
    <w:rsid w:val="00A165A4"/>
    <w:rsid w:val="00A20F51"/>
    <w:rsid w:val="00A23F92"/>
    <w:rsid w:val="00A261EE"/>
    <w:rsid w:val="00A36928"/>
    <w:rsid w:val="00A41A02"/>
    <w:rsid w:val="00A7083F"/>
    <w:rsid w:val="00A73197"/>
    <w:rsid w:val="00A818E1"/>
    <w:rsid w:val="00A971F6"/>
    <w:rsid w:val="00AA5847"/>
    <w:rsid w:val="00AA7EF2"/>
    <w:rsid w:val="00AB2F74"/>
    <w:rsid w:val="00AC0396"/>
    <w:rsid w:val="00AD5E6D"/>
    <w:rsid w:val="00AF5969"/>
    <w:rsid w:val="00AF6BA0"/>
    <w:rsid w:val="00B136A0"/>
    <w:rsid w:val="00B1437A"/>
    <w:rsid w:val="00B1581C"/>
    <w:rsid w:val="00B15AD3"/>
    <w:rsid w:val="00B17654"/>
    <w:rsid w:val="00B177A8"/>
    <w:rsid w:val="00B30757"/>
    <w:rsid w:val="00B31459"/>
    <w:rsid w:val="00B32221"/>
    <w:rsid w:val="00B359F6"/>
    <w:rsid w:val="00B51A02"/>
    <w:rsid w:val="00B55995"/>
    <w:rsid w:val="00B70370"/>
    <w:rsid w:val="00B75A8A"/>
    <w:rsid w:val="00B75BC1"/>
    <w:rsid w:val="00B87E8F"/>
    <w:rsid w:val="00B93E07"/>
    <w:rsid w:val="00BC12C7"/>
    <w:rsid w:val="00BD24F3"/>
    <w:rsid w:val="00BD67E3"/>
    <w:rsid w:val="00BE57DD"/>
    <w:rsid w:val="00BE597E"/>
    <w:rsid w:val="00BE74E2"/>
    <w:rsid w:val="00BE7ACE"/>
    <w:rsid w:val="00BF7EF2"/>
    <w:rsid w:val="00C03064"/>
    <w:rsid w:val="00C05F6B"/>
    <w:rsid w:val="00C0796B"/>
    <w:rsid w:val="00C22E7F"/>
    <w:rsid w:val="00C32959"/>
    <w:rsid w:val="00C350BC"/>
    <w:rsid w:val="00C42F3E"/>
    <w:rsid w:val="00C45843"/>
    <w:rsid w:val="00C51210"/>
    <w:rsid w:val="00C5677A"/>
    <w:rsid w:val="00C6438C"/>
    <w:rsid w:val="00C74325"/>
    <w:rsid w:val="00C74772"/>
    <w:rsid w:val="00C8274E"/>
    <w:rsid w:val="00C86A35"/>
    <w:rsid w:val="00C87D4F"/>
    <w:rsid w:val="00C91B03"/>
    <w:rsid w:val="00CB1DEC"/>
    <w:rsid w:val="00CB5FAC"/>
    <w:rsid w:val="00CC0444"/>
    <w:rsid w:val="00CC2079"/>
    <w:rsid w:val="00CD519A"/>
    <w:rsid w:val="00CE1837"/>
    <w:rsid w:val="00CE5129"/>
    <w:rsid w:val="00CF0217"/>
    <w:rsid w:val="00CF24B5"/>
    <w:rsid w:val="00D01F3B"/>
    <w:rsid w:val="00D06F30"/>
    <w:rsid w:val="00D07909"/>
    <w:rsid w:val="00D1243D"/>
    <w:rsid w:val="00D1788C"/>
    <w:rsid w:val="00D20961"/>
    <w:rsid w:val="00D25D9D"/>
    <w:rsid w:val="00D32F3F"/>
    <w:rsid w:val="00D34C99"/>
    <w:rsid w:val="00D353CA"/>
    <w:rsid w:val="00D45BF4"/>
    <w:rsid w:val="00D47835"/>
    <w:rsid w:val="00D538D6"/>
    <w:rsid w:val="00D555FD"/>
    <w:rsid w:val="00D570E4"/>
    <w:rsid w:val="00D70A89"/>
    <w:rsid w:val="00D81D94"/>
    <w:rsid w:val="00D81EAC"/>
    <w:rsid w:val="00D90F11"/>
    <w:rsid w:val="00DA4E74"/>
    <w:rsid w:val="00DB4CAB"/>
    <w:rsid w:val="00DE6740"/>
    <w:rsid w:val="00DE7D6B"/>
    <w:rsid w:val="00DF0199"/>
    <w:rsid w:val="00DF490D"/>
    <w:rsid w:val="00E05D37"/>
    <w:rsid w:val="00E068E6"/>
    <w:rsid w:val="00E07125"/>
    <w:rsid w:val="00E133C7"/>
    <w:rsid w:val="00E23F33"/>
    <w:rsid w:val="00E2438E"/>
    <w:rsid w:val="00E32511"/>
    <w:rsid w:val="00E442F2"/>
    <w:rsid w:val="00E44384"/>
    <w:rsid w:val="00E44E1E"/>
    <w:rsid w:val="00E46811"/>
    <w:rsid w:val="00E50041"/>
    <w:rsid w:val="00E700F6"/>
    <w:rsid w:val="00E86C35"/>
    <w:rsid w:val="00E950CE"/>
    <w:rsid w:val="00EA302F"/>
    <w:rsid w:val="00EA539B"/>
    <w:rsid w:val="00EB0014"/>
    <w:rsid w:val="00EB5424"/>
    <w:rsid w:val="00EC522E"/>
    <w:rsid w:val="00EE1BBA"/>
    <w:rsid w:val="00EE5676"/>
    <w:rsid w:val="00EE5F54"/>
    <w:rsid w:val="00EF3A99"/>
    <w:rsid w:val="00F0232A"/>
    <w:rsid w:val="00F051CF"/>
    <w:rsid w:val="00F10F96"/>
    <w:rsid w:val="00F15AE8"/>
    <w:rsid w:val="00F30516"/>
    <w:rsid w:val="00F30914"/>
    <w:rsid w:val="00F32533"/>
    <w:rsid w:val="00F36748"/>
    <w:rsid w:val="00F40C76"/>
    <w:rsid w:val="00F6004F"/>
    <w:rsid w:val="00F761E0"/>
    <w:rsid w:val="00F82793"/>
    <w:rsid w:val="00F97050"/>
    <w:rsid w:val="00FA0179"/>
    <w:rsid w:val="00FA22B7"/>
    <w:rsid w:val="00FB0C43"/>
    <w:rsid w:val="00FB5316"/>
    <w:rsid w:val="00FC3685"/>
    <w:rsid w:val="00FC7798"/>
    <w:rsid w:val="00FD6B4A"/>
    <w:rsid w:val="00FE069B"/>
    <w:rsid w:val="00FE2E1E"/>
    <w:rsid w:val="00FE3D01"/>
    <w:rsid w:val="00FE7D01"/>
    <w:rsid w:val="00FF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18"/>
    <w:pPr>
      <w:spacing w:line="360" w:lineRule="atLeast"/>
      <w:jc w:val="both"/>
    </w:pPr>
    <w:rPr>
      <w:rFonts w:cs="Times New Roman CYR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034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04B3"/>
    <w:rPr>
      <w:rFonts w:cs="Times New Roman"/>
      <w:sz w:val="28"/>
    </w:rPr>
  </w:style>
  <w:style w:type="paragraph" w:styleId="Footer">
    <w:name w:val="footer"/>
    <w:basedOn w:val="Normal"/>
    <w:link w:val="FooterChar"/>
    <w:uiPriority w:val="99"/>
    <w:rsid w:val="006003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5AD3"/>
    <w:rPr>
      <w:rFonts w:cs="Times New Roman CYR"/>
      <w:sz w:val="28"/>
      <w:szCs w:val="28"/>
    </w:rPr>
  </w:style>
  <w:style w:type="character" w:styleId="PageNumber">
    <w:name w:val="page number"/>
    <w:basedOn w:val="DefaultParagraphFont"/>
    <w:uiPriority w:val="99"/>
    <w:rsid w:val="006003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600F1"/>
    <w:pPr>
      <w:spacing w:line="240" w:lineRule="atLeast"/>
      <w:ind w:left="6180"/>
      <w:jc w:val="left"/>
    </w:pPr>
    <w:rPr>
      <w:rFonts w:ascii="Times New Roman" w:hAnsi="Times New Roman" w:cs="Times New Roman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5AD3"/>
    <w:rPr>
      <w:rFonts w:cs="Times New Roman CYR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6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AD3"/>
    <w:rPr>
      <w:rFonts w:ascii="Times New Roman" w:hAnsi="Times New Roman" w:cs="Times New Roman CYR"/>
      <w:sz w:val="2"/>
    </w:rPr>
  </w:style>
  <w:style w:type="character" w:styleId="CommentReference">
    <w:name w:val="annotation reference"/>
    <w:basedOn w:val="DefaultParagraphFont"/>
    <w:uiPriority w:val="99"/>
    <w:semiHidden/>
    <w:rsid w:val="002D461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4618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05BB"/>
    <w:rPr>
      <w:rFonts w:cs="Times New Roman"/>
    </w:rPr>
  </w:style>
  <w:style w:type="paragraph" w:customStyle="1" w:styleId="a">
    <w:name w:val="Знак"/>
    <w:basedOn w:val="Normal"/>
    <w:autoRedefine/>
    <w:uiPriority w:val="99"/>
    <w:rsid w:val="00F82793"/>
    <w:pPr>
      <w:spacing w:after="160" w:line="240" w:lineRule="exact"/>
      <w:jc w:val="left"/>
    </w:pPr>
    <w:rPr>
      <w:rFonts w:ascii="Times New Roman" w:eastAsia="SimSun" w:hAnsi="Times New Roman" w:cs="Times New Roman"/>
      <w:b/>
      <w:szCs w:val="24"/>
      <w:lang w:val="en-US" w:eastAsia="en-US"/>
    </w:rPr>
  </w:style>
  <w:style w:type="paragraph" w:customStyle="1" w:styleId="a0">
    <w:name w:val="Знак Знак Знак Знак"/>
    <w:basedOn w:val="Normal"/>
    <w:autoRedefine/>
    <w:uiPriority w:val="99"/>
    <w:rsid w:val="003B6987"/>
    <w:pPr>
      <w:spacing w:after="160" w:line="240" w:lineRule="exact"/>
      <w:jc w:val="left"/>
    </w:pPr>
    <w:rPr>
      <w:rFonts w:ascii="Times New Roman" w:eastAsia="SimSun" w:hAnsi="Times New Roman" w:cs="Times New Roman"/>
      <w:b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D47835"/>
    <w:rPr>
      <w:rFonts w:cs="Times New Roman"/>
    </w:rPr>
  </w:style>
  <w:style w:type="character" w:styleId="Hyperlink">
    <w:name w:val="Hyperlink"/>
    <w:basedOn w:val="DefaultParagraphFont"/>
    <w:uiPriority w:val="99"/>
    <w:rsid w:val="00D4783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1F47A3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F47A3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F47A3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07125"/>
    <w:pPr>
      <w:spacing w:line="276" w:lineRule="auto"/>
      <w:ind w:left="720" w:firstLine="709"/>
      <w:contextualSpacing/>
    </w:pPr>
    <w:rPr>
      <w:rFonts w:ascii="Times New Roman" w:hAnsi="Times New Roman" w:cs="Times New Roman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2115EF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115EF"/>
    <w:rPr>
      <w:rFonts w:cs="Times New Roman"/>
      <w:sz w:val="28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05B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7</Pages>
  <Words>1857</Words>
  <Characters>10588</Characters>
  <Application>Microsoft Office Outlook</Application>
  <DocSecurity>0</DocSecurity>
  <Lines>0</Lines>
  <Paragraphs>0</Paragraphs>
  <ScaleCrop>false</ScaleCrop>
  <Company>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subject/>
  <dc:creator>ZivotkevichTI</dc:creator>
  <cp:keywords/>
  <dc:description/>
  <cp:lastModifiedBy>admin</cp:lastModifiedBy>
  <cp:revision>12</cp:revision>
  <cp:lastPrinted>2018-01-19T06:54:00Z</cp:lastPrinted>
  <dcterms:created xsi:type="dcterms:W3CDTF">2018-01-17T06:56:00Z</dcterms:created>
  <dcterms:modified xsi:type="dcterms:W3CDTF">2018-01-19T07:25:00Z</dcterms:modified>
</cp:coreProperties>
</file>