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A0D" w:rsidRDefault="00D27A0D">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D27A0D" w:rsidRDefault="00D27A0D">
      <w:pPr>
        <w:pStyle w:val="newncpi"/>
        <w:ind w:firstLine="0"/>
        <w:jc w:val="center"/>
      </w:pPr>
      <w:r>
        <w:rPr>
          <w:rStyle w:val="datepr"/>
        </w:rPr>
        <w:t>21 декабря 2022 г.</w:t>
      </w:r>
      <w:r>
        <w:rPr>
          <w:rStyle w:val="number"/>
        </w:rPr>
        <w:t xml:space="preserve"> № 59</w:t>
      </w:r>
    </w:p>
    <w:p w:rsidR="00D27A0D" w:rsidRDefault="00D27A0D">
      <w:pPr>
        <w:pStyle w:val="titlencpi"/>
      </w:pPr>
      <w:r>
        <w:t>Об оценке соответствия</w:t>
      </w:r>
    </w:p>
    <w:p w:rsidR="00D27A0D" w:rsidRDefault="00D27A0D">
      <w:pPr>
        <w:pStyle w:val="changei"/>
      </w:pPr>
      <w:r>
        <w:t>Изменения и дополнения:</w:t>
      </w:r>
    </w:p>
    <w:p w:rsidR="00D27A0D" w:rsidRDefault="00D27A0D">
      <w:pPr>
        <w:pStyle w:val="changeadd"/>
      </w:pPr>
      <w:r>
        <w:t>Постановление Министерства финансов Республики Беларусь от 16 декабря 2024 г. № 73 (зарегистрировано в Национальном реестре - № 8/42575 от 24.12.2024 г.) &lt;W22442575&gt;</w:t>
      </w:r>
    </w:p>
    <w:p w:rsidR="00D27A0D" w:rsidRDefault="00D27A0D">
      <w:pPr>
        <w:pStyle w:val="newncpi"/>
      </w:pPr>
      <w:r>
        <w:t> </w:t>
      </w:r>
    </w:p>
    <w:p w:rsidR="00D27A0D" w:rsidRDefault="00D27A0D">
      <w:pPr>
        <w:pStyle w:val="preamble"/>
      </w:pPr>
      <w:r>
        <w:t>На основании подпункта 1.2 пункта 1 статьи 12 Закона Республики Беларусь от 14 октября 2022 г. № 213-З «О лицензировании»,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D27A0D" w:rsidRDefault="00D27A0D">
      <w:pPr>
        <w:pStyle w:val="point"/>
      </w:pPr>
      <w:r>
        <w:t>1. Утвердить:</w:t>
      </w:r>
    </w:p>
    <w:p w:rsidR="00D27A0D" w:rsidRDefault="00D27A0D">
      <w:pPr>
        <w:pStyle w:val="newncpi"/>
      </w:pPr>
      <w:r>
        <w:t xml:space="preserve">Положение о порядке проведения оценки соответствия возможностей соискателя лицензии </w:t>
      </w:r>
      <w:proofErr w:type="spellStart"/>
      <w:r>
        <w:t>долицензионным</w:t>
      </w:r>
      <w:proofErr w:type="spellEnd"/>
      <w:r>
        <w:t xml:space="preserve"> требованиям, лицензиата лицензионным требованиям в сфере страхования (прилагается);</w:t>
      </w:r>
    </w:p>
    <w:p w:rsidR="00D27A0D" w:rsidRDefault="00D27A0D">
      <w:pPr>
        <w:pStyle w:val="newncpi"/>
      </w:pPr>
      <w:r>
        <w:t xml:space="preserve">Положение о порядке проведения оценки соответствия возможностей соискателя лицензии </w:t>
      </w:r>
      <w:proofErr w:type="spellStart"/>
      <w:r>
        <w:t>долицензионным</w:t>
      </w:r>
      <w:proofErr w:type="spellEnd"/>
      <w:r>
        <w:t xml:space="preserve"> требованиям, лицензиата лицензионным требованиям в деятельности, связанной с разработкой и производством бланков и документов (прилагается).</w:t>
      </w:r>
    </w:p>
    <w:p w:rsidR="00D27A0D" w:rsidRDefault="00D27A0D">
      <w:pPr>
        <w:pStyle w:val="point"/>
      </w:pPr>
      <w:r>
        <w:t>2. Настоящее постановление вступает в силу после его официального опубликования.</w:t>
      </w:r>
    </w:p>
    <w:p w:rsidR="00D27A0D" w:rsidRDefault="00D27A0D">
      <w:pPr>
        <w:pStyle w:val="table10"/>
      </w:pPr>
      <w:r>
        <w:t> </w:t>
      </w:r>
    </w:p>
    <w:tbl>
      <w:tblPr>
        <w:tblW w:w="5000" w:type="pct"/>
        <w:tblCellMar>
          <w:left w:w="0" w:type="dxa"/>
          <w:right w:w="0" w:type="dxa"/>
        </w:tblCellMar>
        <w:tblLook w:val="04A0" w:firstRow="1" w:lastRow="0" w:firstColumn="1" w:lastColumn="0" w:noHBand="0" w:noVBand="1"/>
      </w:tblPr>
      <w:tblGrid>
        <w:gridCol w:w="4678"/>
        <w:gridCol w:w="4679"/>
      </w:tblGrid>
      <w:tr w:rsidR="00D27A0D">
        <w:tc>
          <w:tcPr>
            <w:tcW w:w="2500" w:type="pct"/>
            <w:tcMar>
              <w:top w:w="0" w:type="dxa"/>
              <w:left w:w="6" w:type="dxa"/>
              <w:bottom w:w="0" w:type="dxa"/>
              <w:right w:w="6" w:type="dxa"/>
            </w:tcMar>
            <w:vAlign w:val="bottom"/>
            <w:hideMark/>
          </w:tcPr>
          <w:p w:rsidR="00D27A0D" w:rsidRDefault="00D27A0D">
            <w:pPr>
              <w:pStyle w:val="newncpi0"/>
              <w:jc w:val="left"/>
            </w:pPr>
            <w:r>
              <w:rPr>
                <w:rStyle w:val="post"/>
              </w:rPr>
              <w:t>Министр</w:t>
            </w:r>
          </w:p>
        </w:tc>
        <w:tc>
          <w:tcPr>
            <w:tcW w:w="2500" w:type="pct"/>
            <w:tcMar>
              <w:top w:w="0" w:type="dxa"/>
              <w:left w:w="6" w:type="dxa"/>
              <w:bottom w:w="0" w:type="dxa"/>
              <w:right w:w="6" w:type="dxa"/>
            </w:tcMar>
            <w:vAlign w:val="bottom"/>
            <w:hideMark/>
          </w:tcPr>
          <w:p w:rsidR="00D27A0D" w:rsidRDefault="00D27A0D">
            <w:pPr>
              <w:pStyle w:val="newncpi0"/>
              <w:jc w:val="right"/>
            </w:pPr>
            <w:proofErr w:type="spellStart"/>
            <w:r>
              <w:rPr>
                <w:rStyle w:val="pers"/>
              </w:rPr>
              <w:t>Ю.М.Селиверстов</w:t>
            </w:r>
            <w:proofErr w:type="spellEnd"/>
          </w:p>
        </w:tc>
      </w:tr>
    </w:tbl>
    <w:p w:rsidR="00D27A0D" w:rsidRDefault="00D27A0D">
      <w:pPr>
        <w:pStyle w:val="newncpi0"/>
      </w:pPr>
      <w:r>
        <w:t> </w:t>
      </w:r>
    </w:p>
    <w:p w:rsidR="00D27A0D" w:rsidRDefault="00D27A0D">
      <w:pPr>
        <w:pStyle w:val="agree"/>
      </w:pPr>
      <w:r>
        <w:t>СОГЛАСОВАНО</w:t>
      </w:r>
    </w:p>
    <w:p w:rsidR="00D27A0D" w:rsidRDefault="00D27A0D">
      <w:pPr>
        <w:pStyle w:val="agree"/>
      </w:pPr>
      <w:r>
        <w:t>Министерство экономики</w:t>
      </w:r>
      <w:r>
        <w:br/>
        <w:t>Республики Беларусь</w:t>
      </w:r>
    </w:p>
    <w:p w:rsidR="00D27A0D" w:rsidRDefault="00D27A0D">
      <w:pPr>
        <w:pStyle w:val="newncpi"/>
      </w:pPr>
      <w:r>
        <w:t> </w:t>
      </w:r>
    </w:p>
    <w:tbl>
      <w:tblPr>
        <w:tblW w:w="5000" w:type="pct"/>
        <w:tblCellMar>
          <w:left w:w="0" w:type="dxa"/>
          <w:right w:w="0" w:type="dxa"/>
        </w:tblCellMar>
        <w:tblLook w:val="04A0" w:firstRow="1" w:lastRow="0" w:firstColumn="1" w:lastColumn="0" w:noHBand="0" w:noVBand="1"/>
      </w:tblPr>
      <w:tblGrid>
        <w:gridCol w:w="6806"/>
        <w:gridCol w:w="2551"/>
      </w:tblGrid>
      <w:tr w:rsidR="00D27A0D">
        <w:tc>
          <w:tcPr>
            <w:tcW w:w="3637" w:type="pct"/>
            <w:tcMar>
              <w:top w:w="0" w:type="dxa"/>
              <w:left w:w="6" w:type="dxa"/>
              <w:bottom w:w="0" w:type="dxa"/>
              <w:right w:w="6" w:type="dxa"/>
            </w:tcMar>
            <w:hideMark/>
          </w:tcPr>
          <w:p w:rsidR="00D27A0D" w:rsidRDefault="00D27A0D">
            <w:pPr>
              <w:pStyle w:val="newncpi"/>
            </w:pPr>
            <w:r>
              <w:t> </w:t>
            </w:r>
          </w:p>
        </w:tc>
        <w:tc>
          <w:tcPr>
            <w:tcW w:w="1363" w:type="pct"/>
            <w:tcMar>
              <w:top w:w="0" w:type="dxa"/>
              <w:left w:w="6" w:type="dxa"/>
              <w:bottom w:w="0" w:type="dxa"/>
              <w:right w:w="6" w:type="dxa"/>
            </w:tcMar>
            <w:hideMark/>
          </w:tcPr>
          <w:p w:rsidR="00D27A0D" w:rsidRDefault="00D27A0D">
            <w:pPr>
              <w:pStyle w:val="capu1"/>
            </w:pPr>
            <w:r>
              <w:t>УТВЕРЖДЕНО</w:t>
            </w:r>
          </w:p>
          <w:p w:rsidR="00D27A0D" w:rsidRDefault="00D27A0D">
            <w:pPr>
              <w:pStyle w:val="cap1"/>
            </w:pPr>
            <w:r>
              <w:t xml:space="preserve">Постановление </w:t>
            </w:r>
            <w:r>
              <w:br/>
              <w:t xml:space="preserve">Министерства финансов </w:t>
            </w:r>
            <w:r>
              <w:br/>
              <w:t>Республики Беларусь</w:t>
            </w:r>
            <w:r>
              <w:br/>
              <w:t>21.12.2022 № 59</w:t>
            </w:r>
          </w:p>
        </w:tc>
      </w:tr>
    </w:tbl>
    <w:p w:rsidR="00D27A0D" w:rsidRDefault="00D27A0D">
      <w:pPr>
        <w:pStyle w:val="titleu"/>
      </w:pPr>
      <w:r>
        <w:t>ПОЛОЖЕНИЕ</w:t>
      </w:r>
      <w:r>
        <w:br/>
        <w:t xml:space="preserve">о порядке проведения оценки соответствия возможностей соискателя лицензии </w:t>
      </w:r>
      <w:proofErr w:type="spellStart"/>
      <w:r>
        <w:t>долицензионным</w:t>
      </w:r>
      <w:proofErr w:type="spellEnd"/>
      <w:r>
        <w:t xml:space="preserve"> требованиям, лицензиата лицензионным требованиям в сфере страхования</w:t>
      </w:r>
    </w:p>
    <w:p w:rsidR="00D27A0D" w:rsidRDefault="00D27A0D">
      <w:pPr>
        <w:pStyle w:val="point"/>
      </w:pPr>
      <w:r>
        <w:t xml:space="preserve">1. Настоящим Положением определяется порядок проведения Министерством финансов оценки соответствия возможностей соискателя лицензии </w:t>
      </w:r>
      <w:proofErr w:type="spellStart"/>
      <w:r>
        <w:t>долицензионным</w:t>
      </w:r>
      <w:proofErr w:type="spellEnd"/>
      <w:r>
        <w:t xml:space="preserve"> требованиям, лицензиата лицензионным требованиям на осуществление страховой деятельности (далее – оценка соответствия).</w:t>
      </w:r>
    </w:p>
    <w:p w:rsidR="00D27A0D" w:rsidRDefault="00D27A0D">
      <w:pPr>
        <w:pStyle w:val="point"/>
      </w:pPr>
      <w:r>
        <w:t>2. В настоящем Положении используются термины и их определения в значениях, установленных Законом Республики Беларусь «О лицензировании», Законом Республики Беларусь от 5 января 2024 г. № 344-З «О страховой деятельности».</w:t>
      </w:r>
    </w:p>
    <w:p w:rsidR="00D27A0D" w:rsidRDefault="00D27A0D">
      <w:pPr>
        <w:pStyle w:val="point"/>
      </w:pPr>
      <w:r>
        <w:lastRenderedPageBreak/>
        <w:t>3. Оценка соответствия проводится в срок, не превышающий 10 рабочих дней, до принятия решения о предоставлении, отказе в предоставлении, об изменении, об отказе в изменении лицензии.</w:t>
      </w:r>
    </w:p>
    <w:p w:rsidR="00D27A0D" w:rsidRDefault="00D27A0D">
      <w:pPr>
        <w:pStyle w:val="newncpi"/>
      </w:pPr>
      <w:r>
        <w:t>Уведомление о назначении оценки соответствия в течение трех рабочих дней со дня назначения оценки направляется соискателю лицензии, лицензиату по последнему известному почтовому адресу, адресу места нахождения, любым из доступных способов связи, позволяющих достоверно установить дату его получения.</w:t>
      </w:r>
    </w:p>
    <w:p w:rsidR="00D27A0D" w:rsidRDefault="00D27A0D">
      <w:pPr>
        <w:pStyle w:val="point"/>
      </w:pPr>
      <w:r>
        <w:t>4. Оценка соответствия проводится по следующим составляющим страховую деятельность услугам:</w:t>
      </w:r>
    </w:p>
    <w:p w:rsidR="00D27A0D" w:rsidRDefault="00D27A0D">
      <w:pPr>
        <w:pStyle w:val="newncpi"/>
      </w:pPr>
      <w:r>
        <w:t>обязательное страхование;</w:t>
      </w:r>
    </w:p>
    <w:p w:rsidR="00D27A0D" w:rsidRDefault="00D27A0D">
      <w:pPr>
        <w:pStyle w:val="newncpi"/>
      </w:pPr>
      <w:r>
        <w:t>перестрахование;</w:t>
      </w:r>
    </w:p>
    <w:p w:rsidR="00D27A0D" w:rsidRDefault="00D27A0D">
      <w:pPr>
        <w:pStyle w:val="newncpi"/>
      </w:pPr>
      <w:r>
        <w:t>добровольное, вмененное страхование:</w:t>
      </w:r>
    </w:p>
    <w:p w:rsidR="00D27A0D" w:rsidRDefault="00D27A0D">
      <w:pPr>
        <w:pStyle w:val="newncpi"/>
      </w:pPr>
      <w:r>
        <w:t>страхование, относящееся к страхованию жизни;</w:t>
      </w:r>
    </w:p>
    <w:p w:rsidR="00D27A0D" w:rsidRDefault="00D27A0D">
      <w:pPr>
        <w:pStyle w:val="newncpi"/>
      </w:pPr>
      <w:r>
        <w:t>страхование, не относящееся к страхованию жизни.</w:t>
      </w:r>
    </w:p>
    <w:p w:rsidR="00D27A0D" w:rsidRDefault="00D27A0D">
      <w:pPr>
        <w:pStyle w:val="point"/>
      </w:pPr>
      <w:r>
        <w:t xml:space="preserve">5. При проведении оценки соответствия соискателя лицензии </w:t>
      </w:r>
      <w:proofErr w:type="spellStart"/>
      <w:r>
        <w:t>долицензионным</w:t>
      </w:r>
      <w:proofErr w:type="spellEnd"/>
      <w:r>
        <w:t xml:space="preserve"> требованиям устанавливаются:</w:t>
      </w:r>
    </w:p>
    <w:p w:rsidR="00D27A0D" w:rsidRDefault="00D27A0D">
      <w:pPr>
        <w:pStyle w:val="underpoint"/>
      </w:pPr>
      <w:r>
        <w:t>5.1. соответствие руководителя, заместителя (заместителей) руководителя, главного бухгалтера страховой организации, а также руководителей обособленных подразделений страховой организации квалификационным требованиям, установленным Инструкцией о порядке подтверждения профессиональной пригодности, утвержденной постановлением Министерства финансов Республики Беларусь от 7 февраля 2002 г. № 17;</w:t>
      </w:r>
    </w:p>
    <w:p w:rsidR="00D27A0D" w:rsidRDefault="00D27A0D">
      <w:pPr>
        <w:pStyle w:val="underpoint"/>
      </w:pPr>
      <w:r>
        <w:t>5.2. соблюдение требований в отношении формирования минимального размера уставного фонда;</w:t>
      </w:r>
    </w:p>
    <w:p w:rsidR="00D27A0D" w:rsidRDefault="00D27A0D">
      <w:pPr>
        <w:pStyle w:val="underpoint"/>
      </w:pPr>
      <w:r>
        <w:t>5.3. наличие правил по соответствующим видам страхования, утвержденных страховщиком либо объединением страховщиков и (или) страховых брокеров;</w:t>
      </w:r>
    </w:p>
    <w:p w:rsidR="00D27A0D" w:rsidRDefault="00D27A0D">
      <w:pPr>
        <w:pStyle w:val="underpoint"/>
      </w:pPr>
      <w:r>
        <w:t>5.4. наличие в штате не менее одного работника, имеющего высшее математическое, техническое и (или) экономическое образование, осуществляющего актуарные расчеты размеров страховых тарифов, страховых взносов (страховых премий), а также других величин и показателей, связанных со страховой деятельностью (далее – специалист, осуществляющий актуарные расчеты);</w:t>
      </w:r>
    </w:p>
    <w:p w:rsidR="00D27A0D" w:rsidRDefault="00D27A0D">
      <w:pPr>
        <w:pStyle w:val="underpoint"/>
      </w:pPr>
      <w:r>
        <w:t>5.5. для добровольного страхования от несчастных случаев и болезней на время поездки за границу помимо требований, указанных в подпунктах 5.1–5.4 настоящего пункта, – наличие договора, заключенного с иностранным партнером, выступающим гарантом обеспечения оплаты расходов на лечение застрахованного лица при наступлении страхового случая, располагающим собственными сервисными центрами, с приложением их перечня и указанием мест нахождения;</w:t>
      </w:r>
    </w:p>
    <w:p w:rsidR="00D27A0D" w:rsidRDefault="00D27A0D">
      <w:pPr>
        <w:pStyle w:val="underpoint"/>
      </w:pPr>
      <w:r>
        <w:t>5.6. для добровольного страхования медицинских расходов помимо требований, указанных в подпунктах 5.1–5.4 настоящего пункта, – наличие в штате страховой организации не менее одного работника, имеющего высшее медицинское образование.</w:t>
      </w:r>
    </w:p>
    <w:p w:rsidR="00D27A0D" w:rsidRDefault="00D27A0D">
      <w:pPr>
        <w:pStyle w:val="point"/>
      </w:pPr>
      <w:r>
        <w:t>6. При проведении оценки соответствия лицензиата лицензионным требованиям дополнительно к указанным в подпунктах 5.1–5.6 пункта 5 настоящего Положения устанавливаются:</w:t>
      </w:r>
    </w:p>
    <w:p w:rsidR="00D27A0D" w:rsidRDefault="00D27A0D">
      <w:pPr>
        <w:pStyle w:val="underpoint"/>
      </w:pPr>
      <w:r>
        <w:t>6.1. осуществление лицензиатом вида деятельности, соответствующего предмету его деятельности;</w:t>
      </w:r>
    </w:p>
    <w:p w:rsidR="00D27A0D" w:rsidRDefault="00D27A0D">
      <w:pPr>
        <w:pStyle w:val="underpoint"/>
      </w:pPr>
      <w:r>
        <w:t>6.2. платежеспособность лицензиата;</w:t>
      </w:r>
    </w:p>
    <w:p w:rsidR="00D27A0D" w:rsidRDefault="00D27A0D">
      <w:pPr>
        <w:pStyle w:val="underpoint"/>
      </w:pPr>
      <w:r>
        <w:t>6.3. обеспечение назначения специалиста, осуществляющего актуарные расчеты, в течение месяца со дня увольнения предыдущего специалиста;</w:t>
      </w:r>
    </w:p>
    <w:p w:rsidR="00D27A0D" w:rsidRDefault="00D27A0D">
      <w:pPr>
        <w:pStyle w:val="underpoint"/>
      </w:pPr>
      <w:r>
        <w:t>6.4. соблюдение требований в отношении:</w:t>
      </w:r>
    </w:p>
    <w:p w:rsidR="00D27A0D" w:rsidRDefault="00D27A0D">
      <w:pPr>
        <w:pStyle w:val="newncpi"/>
      </w:pPr>
      <w:r>
        <w:t>обеспечения минимального размера уставного фонда;</w:t>
      </w:r>
    </w:p>
    <w:p w:rsidR="00D27A0D" w:rsidRDefault="00D27A0D">
      <w:pPr>
        <w:pStyle w:val="newncpi"/>
      </w:pPr>
      <w:r>
        <w:t>ведения бухгалтерского учета, составления и представления бухгалтерской и (или) финансовой отчетности;</w:t>
      </w:r>
    </w:p>
    <w:p w:rsidR="00D27A0D" w:rsidRDefault="00D27A0D">
      <w:pPr>
        <w:pStyle w:val="newncpi"/>
      </w:pPr>
      <w:r>
        <w:lastRenderedPageBreak/>
        <w:t>нормативов, включая предельные размеры вознаграждений, иных видов выплат страховому брокеру, страховому агенту;</w:t>
      </w:r>
    </w:p>
    <w:p w:rsidR="00D27A0D" w:rsidRDefault="00D27A0D">
      <w:pPr>
        <w:pStyle w:val="newncpi"/>
      </w:pPr>
      <w:r>
        <w:t>соотношения финансовых активов и обязательств, принятых по договорам страхования (</w:t>
      </w:r>
      <w:proofErr w:type="spellStart"/>
      <w:r>
        <w:t>сострахования</w:t>
      </w:r>
      <w:proofErr w:type="spellEnd"/>
      <w:r>
        <w:t>, перестрахования);</w:t>
      </w:r>
    </w:p>
    <w:p w:rsidR="00D27A0D" w:rsidRDefault="00D27A0D">
      <w:pPr>
        <w:pStyle w:val="newncpi"/>
      </w:pPr>
      <w:r>
        <w:t>формирования, размещения и использования страховых резервов, иных фондов и собственных средств, осуществления инвестиций;</w:t>
      </w:r>
    </w:p>
    <w:p w:rsidR="00D27A0D" w:rsidRDefault="00D27A0D">
      <w:pPr>
        <w:pStyle w:val="newncpi"/>
      </w:pPr>
      <w:r>
        <w:t xml:space="preserve">осуществления обязательного, добровольного, вмененного страхования (включая порядок передачи обязательств по договорам страхования другому лицензиату), </w:t>
      </w:r>
      <w:proofErr w:type="spellStart"/>
      <w:r>
        <w:t>сострахования</w:t>
      </w:r>
      <w:proofErr w:type="spellEnd"/>
      <w:r>
        <w:t>, перестрахования;</w:t>
      </w:r>
    </w:p>
    <w:p w:rsidR="00D27A0D" w:rsidRDefault="00D27A0D">
      <w:pPr>
        <w:pStyle w:val="newncpi"/>
      </w:pPr>
      <w:r>
        <w:t>порядка учета, хранения, заполнения, использования и выписки страховых полисов (свидетельств, сертификатов) либо квитанций;</w:t>
      </w:r>
    </w:p>
    <w:p w:rsidR="00D27A0D" w:rsidRDefault="00D27A0D">
      <w:pPr>
        <w:pStyle w:val="underpoint"/>
      </w:pPr>
      <w:r>
        <w:t>6.5. для обязательного страхования гражданской ответственности владельцев транспортных средств помимо требований, указанных в подпунктах 6.1–6.4 настоящего пункта:</w:t>
      </w:r>
    </w:p>
    <w:p w:rsidR="00D27A0D" w:rsidRDefault="00D27A0D">
      <w:pPr>
        <w:pStyle w:val="newncpi"/>
      </w:pPr>
      <w:r>
        <w:t>осуществление деятельности на рынке страховых услуг Республики Беларусь не менее трех лет;</w:t>
      </w:r>
    </w:p>
    <w:p w:rsidR="00D27A0D" w:rsidRDefault="00D27A0D">
      <w:pPr>
        <w:pStyle w:val="newncpi"/>
      </w:pPr>
      <w:r>
        <w:t>наличие не менее одного обособленного подразделения в каждой области;</w:t>
      </w:r>
    </w:p>
    <w:p w:rsidR="00D27A0D" w:rsidRDefault="00D27A0D">
      <w:pPr>
        <w:pStyle w:val="underpoint"/>
      </w:pPr>
      <w:r>
        <w:t>6.6. для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 помимо требований, указанных в подпунктах 6.1–6.4 настоящего пункта, – осуществление деятельности на рынке страховых услуг Республики Беларусь не менее двух лет;</w:t>
      </w:r>
    </w:p>
    <w:p w:rsidR="00D27A0D" w:rsidRDefault="00D27A0D">
      <w:pPr>
        <w:pStyle w:val="underpoint"/>
      </w:pPr>
      <w:r>
        <w:t>6.7. для обязательного страхования гражданской ответственности перевозчика перед пассажирами, перевозчика при перевозке опасных грузов помимо требований, указанных в подпунктах 6.1–6.4 настоящего пункта:</w:t>
      </w:r>
    </w:p>
    <w:p w:rsidR="00D27A0D" w:rsidRDefault="00D27A0D">
      <w:pPr>
        <w:pStyle w:val="newncpi"/>
      </w:pPr>
      <w:r>
        <w:t>осуществление деятельности на рынке страховых услуг Республики Беларусь не менее пяти лет;</w:t>
      </w:r>
    </w:p>
    <w:p w:rsidR="00D27A0D" w:rsidRDefault="00D27A0D">
      <w:pPr>
        <w:pStyle w:val="newncpi"/>
      </w:pPr>
      <w:r>
        <w:t>наличие не менее одного обособленного подразделения в каждой области;</w:t>
      </w:r>
    </w:p>
    <w:p w:rsidR="00D27A0D" w:rsidRDefault="00D27A0D">
      <w:pPr>
        <w:pStyle w:val="underpoint"/>
      </w:pPr>
      <w:r>
        <w:t>6.8. для добровольного страхования гражданской ответственности владельцев воздушных судов, гражданской ответственности судовладельцев, гражданской ответственности организаций, создающих повышенную опасность для окружающих, воздушных судов, морских судов, судов внутреннего и смешанного (река – море) плавания, морского страхования, страхования космических рисков помимо требований, указанных в подпунктах 6.1–6.4 настоящего пункта, – осуществление деятельности на рынке страховых услуг Республики Беларусь не менее трех лет.</w:t>
      </w:r>
    </w:p>
    <w:p w:rsidR="00D27A0D" w:rsidRDefault="00D27A0D">
      <w:pPr>
        <w:pStyle w:val="point"/>
      </w:pPr>
      <w:r>
        <w:t>7. Оценка проводится посредством изучения и анализа:</w:t>
      </w:r>
    </w:p>
    <w:p w:rsidR="00D27A0D" w:rsidRDefault="00D27A0D">
      <w:pPr>
        <w:pStyle w:val="newncpi"/>
      </w:pPr>
      <w:r>
        <w:t>сведений, содержащихся в предоставленных соискателем лицензии (лицензиатом) заявлении о предоставлении (об изменении) лицензии и документах;</w:t>
      </w:r>
    </w:p>
    <w:p w:rsidR="00D27A0D" w:rsidRDefault="00D27A0D">
      <w:pPr>
        <w:pStyle w:val="newncpi"/>
      </w:pPr>
      <w:r>
        <w:t>документов и (или) сведений, имеющихся в Министерстве финансов;</w:t>
      </w:r>
    </w:p>
    <w:p w:rsidR="00D27A0D" w:rsidRDefault="00D27A0D">
      <w:pPr>
        <w:pStyle w:val="newncpi"/>
      </w:pPr>
      <w:r>
        <w:t>документов и (или) сведений, необходимых для проведения оценки соответствия соискателя лицензии, полученных у иных государственных органов и других организаций посредством способов, установленных в части первой пункта 3 статьи 20 Закона Республики Беларусь «О лицензировании».</w:t>
      </w:r>
    </w:p>
    <w:p w:rsidR="00D27A0D" w:rsidRDefault="00D27A0D">
      <w:pPr>
        <w:pStyle w:val="point"/>
      </w:pPr>
      <w:r>
        <w:t xml:space="preserve">8. По результатам оценки соответствия составляется заключение о соответствии или несоответствии возможностей соискателя лицензии </w:t>
      </w:r>
      <w:proofErr w:type="spellStart"/>
      <w:r>
        <w:t>долицензионным</w:t>
      </w:r>
      <w:proofErr w:type="spellEnd"/>
      <w:r>
        <w:t xml:space="preserve"> требованиям, лицензиата лицензионным требованиям, содержащее вывод о соответствии или несоответствии возможностей соискателя лицензии </w:t>
      </w:r>
      <w:proofErr w:type="spellStart"/>
      <w:r>
        <w:t>долицензионным</w:t>
      </w:r>
      <w:proofErr w:type="spellEnd"/>
      <w:r>
        <w:t xml:space="preserve"> требованиям, лицензиата лицензионным требованиям, а также предложения о возможности принятия Министерством финансов решения о предоставлении, об отказе в предоставлении, об изменении, об отказе в изменении лицензии.</w:t>
      </w:r>
    </w:p>
    <w:p w:rsidR="00D27A0D" w:rsidRDefault="00D27A0D">
      <w:pPr>
        <w:pStyle w:val="newncpi"/>
      </w:pPr>
      <w:r>
        <w:t> </w:t>
      </w:r>
    </w:p>
    <w:tbl>
      <w:tblPr>
        <w:tblW w:w="5000" w:type="pct"/>
        <w:tblCellMar>
          <w:left w:w="0" w:type="dxa"/>
          <w:right w:w="0" w:type="dxa"/>
        </w:tblCellMar>
        <w:tblLook w:val="04A0" w:firstRow="1" w:lastRow="0" w:firstColumn="1" w:lastColumn="0" w:noHBand="0" w:noVBand="1"/>
      </w:tblPr>
      <w:tblGrid>
        <w:gridCol w:w="6806"/>
        <w:gridCol w:w="2551"/>
      </w:tblGrid>
      <w:tr w:rsidR="00D27A0D">
        <w:tc>
          <w:tcPr>
            <w:tcW w:w="3637" w:type="pct"/>
            <w:tcMar>
              <w:top w:w="0" w:type="dxa"/>
              <w:left w:w="6" w:type="dxa"/>
              <w:bottom w:w="0" w:type="dxa"/>
              <w:right w:w="6" w:type="dxa"/>
            </w:tcMar>
            <w:hideMark/>
          </w:tcPr>
          <w:p w:rsidR="00D27A0D" w:rsidRDefault="00D27A0D">
            <w:pPr>
              <w:pStyle w:val="newncpi"/>
            </w:pPr>
            <w:r>
              <w:t> </w:t>
            </w:r>
          </w:p>
        </w:tc>
        <w:tc>
          <w:tcPr>
            <w:tcW w:w="1363" w:type="pct"/>
            <w:tcMar>
              <w:top w:w="0" w:type="dxa"/>
              <w:left w:w="6" w:type="dxa"/>
              <w:bottom w:w="0" w:type="dxa"/>
              <w:right w:w="6" w:type="dxa"/>
            </w:tcMar>
            <w:hideMark/>
          </w:tcPr>
          <w:p w:rsidR="00D27A0D" w:rsidRDefault="00D27A0D">
            <w:pPr>
              <w:pStyle w:val="capu1"/>
            </w:pPr>
            <w:r>
              <w:t>УТВЕРЖДЕНО</w:t>
            </w:r>
          </w:p>
          <w:p w:rsidR="00D27A0D" w:rsidRDefault="00D27A0D">
            <w:pPr>
              <w:pStyle w:val="cap1"/>
            </w:pPr>
            <w:r>
              <w:lastRenderedPageBreak/>
              <w:t xml:space="preserve">Постановление </w:t>
            </w:r>
            <w:r>
              <w:br/>
              <w:t xml:space="preserve">Министерства финансов </w:t>
            </w:r>
            <w:r>
              <w:br/>
              <w:t>Республики Беларусь</w:t>
            </w:r>
            <w:r>
              <w:br/>
              <w:t>21.12.2022 № 59</w:t>
            </w:r>
          </w:p>
        </w:tc>
      </w:tr>
    </w:tbl>
    <w:p w:rsidR="00D27A0D" w:rsidRDefault="00D27A0D">
      <w:pPr>
        <w:pStyle w:val="titleu"/>
      </w:pPr>
      <w:r>
        <w:lastRenderedPageBreak/>
        <w:t>ПОЛОЖЕНИЕ</w:t>
      </w:r>
      <w:r>
        <w:br/>
        <w:t xml:space="preserve">о порядке проведения оценки соответствия возможностей соискателя лицензии </w:t>
      </w:r>
      <w:proofErr w:type="spellStart"/>
      <w:r>
        <w:t>долицензионным</w:t>
      </w:r>
      <w:proofErr w:type="spellEnd"/>
      <w:r>
        <w:t xml:space="preserve"> требованиям, лицензиата лицензионным требованиям в деятельности, связанной с разработкой и производством бланков и документов</w:t>
      </w:r>
    </w:p>
    <w:p w:rsidR="00D27A0D" w:rsidRDefault="00D27A0D">
      <w:pPr>
        <w:pStyle w:val="point"/>
      </w:pPr>
      <w:r>
        <w:t xml:space="preserve">1. Настоящим Положением определяется порядок проведения Министерством финансов оценки соответствия возможностей соискателя лицензии </w:t>
      </w:r>
      <w:proofErr w:type="spellStart"/>
      <w:r>
        <w:t>долицензионным</w:t>
      </w:r>
      <w:proofErr w:type="spellEnd"/>
      <w:r>
        <w:t xml:space="preserve"> требованиям, лицензиата лицензионным требованиям (далее – оценка соответствия), установленным для деятельности, связанной с разработкой и производством бланков и документов (далее – лицензируемый вид деятельности).</w:t>
      </w:r>
    </w:p>
    <w:p w:rsidR="00D27A0D" w:rsidRDefault="00D27A0D">
      <w:pPr>
        <w:pStyle w:val="point"/>
      </w:pPr>
      <w:r>
        <w:t>2. Оценка соответствия проводится по следующим составляющим лицензируемый вид деятельности работам и (или) услугам:</w:t>
      </w:r>
    </w:p>
    <w:p w:rsidR="00D27A0D" w:rsidRDefault="00D27A0D">
      <w:pPr>
        <w:pStyle w:val="underpoint"/>
      </w:pPr>
      <w:r>
        <w:t>2.1. разработка бланков ценных бумаг и документов с определенной степенью защиты, а также документов с определенной степенью защиты (далее – бланки и документы);</w:t>
      </w:r>
    </w:p>
    <w:p w:rsidR="00D27A0D" w:rsidRDefault="00D27A0D">
      <w:pPr>
        <w:pStyle w:val="underpoint"/>
      </w:pPr>
      <w:r>
        <w:t>2.2. производство бланков и документов;</w:t>
      </w:r>
    </w:p>
    <w:p w:rsidR="00D27A0D" w:rsidRDefault="00D27A0D">
      <w:pPr>
        <w:pStyle w:val="underpoint"/>
      </w:pPr>
      <w:r>
        <w:t>2.3. производство специальных материалов для защиты от подделки бланков и документов.</w:t>
      </w:r>
    </w:p>
    <w:p w:rsidR="00D27A0D" w:rsidRDefault="00D27A0D">
      <w:pPr>
        <w:pStyle w:val="point"/>
      </w:pPr>
      <w:r>
        <w:t>3. Оценка соответствия проводится в срок, установленный статьей 32 Закона Республики Беларусь «О лицензировании».</w:t>
      </w:r>
    </w:p>
    <w:p w:rsidR="00D27A0D" w:rsidRDefault="00D27A0D">
      <w:pPr>
        <w:pStyle w:val="newncpi"/>
      </w:pPr>
      <w:r>
        <w:t>Уведомление о назначении оценки соответствия в течение трех рабочих дней со дня назначения оценки соответствия направляется соискателю лицензии, лицензиату по последнему известному почтовому адресу, адресу места нахождения любым из доступных способов связи, позволяющих достоверно установить дату его получения.</w:t>
      </w:r>
    </w:p>
    <w:p w:rsidR="00D27A0D" w:rsidRDefault="00D27A0D">
      <w:pPr>
        <w:pStyle w:val="point"/>
      </w:pPr>
      <w:r>
        <w:t xml:space="preserve">4. При проведении оценки соответствия соискателя лицензии </w:t>
      </w:r>
      <w:proofErr w:type="spellStart"/>
      <w:r>
        <w:t>долицензионным</w:t>
      </w:r>
      <w:proofErr w:type="spellEnd"/>
      <w:r>
        <w:t xml:space="preserve"> требованиям устанавливаются:</w:t>
      </w:r>
    </w:p>
    <w:p w:rsidR="00D27A0D" w:rsidRDefault="00D27A0D">
      <w:pPr>
        <w:pStyle w:val="underpoint"/>
      </w:pPr>
      <w:r>
        <w:t>4.1. наличие на праве собственности или ином законном основании зданий, помещений и технологического оборудования, необходимых для осуществления лицензируемого вида деятельности;</w:t>
      </w:r>
    </w:p>
    <w:p w:rsidR="00D27A0D" w:rsidRDefault="00D27A0D">
      <w:pPr>
        <w:pStyle w:val="underpoint"/>
      </w:pPr>
      <w:r>
        <w:t>4.2. наличие разрешения органов государственной безопасности на осуществление деятельности с использованием сведений, составляющих государственные секреты, – при осуществлении деятельности, связанной с использованием таких сведений;</w:t>
      </w:r>
    </w:p>
    <w:p w:rsidR="00D27A0D" w:rsidRDefault="00D27A0D">
      <w:pPr>
        <w:pStyle w:val="underpoint"/>
      </w:pPr>
      <w:r>
        <w:t>4.3. соответствие зданий, помещений, территорий, необходимых для осуществления лицензируемого вида деятельности, требованиям законодательства к их технической укрепленности, а также к оснащению системами и средствами охраны;</w:t>
      </w:r>
    </w:p>
    <w:p w:rsidR="00D27A0D" w:rsidRDefault="00D27A0D">
      <w:pPr>
        <w:pStyle w:val="underpoint"/>
      </w:pPr>
      <w:r>
        <w:t>4.4. отсутствие у учредителей, руководителя и работников соискателя лицензии неснятой или непогашенной судимости за совершение преступлений против порядка осуществления экономической деятельности, а также за разглашение государственных секретов;</w:t>
      </w:r>
    </w:p>
    <w:p w:rsidR="00D27A0D" w:rsidRDefault="00D27A0D">
      <w:pPr>
        <w:pStyle w:val="underpoint"/>
      </w:pPr>
      <w:r>
        <w:t>4.5. наличие назначенного работника, ответственного за осуществление лицензируемого вида деятельности;</w:t>
      </w:r>
    </w:p>
    <w:p w:rsidR="00D27A0D" w:rsidRDefault="00D27A0D">
      <w:pPr>
        <w:pStyle w:val="underpoint"/>
      </w:pPr>
      <w:r>
        <w:t>4.6. способность самостоятельно разработать и (или) произвести пробные образцы бланков и документов и (или) специальных материалов для защиты их от подделки заявленных видов (групп) продукции, соответствующие требованиям, установленным нормативными правовыми актами, в том числе обязательным для соблюдения требованиям технических нормативных правовых актов;</w:t>
      </w:r>
    </w:p>
    <w:p w:rsidR="00D27A0D" w:rsidRDefault="00D27A0D">
      <w:pPr>
        <w:pStyle w:val="underpoint"/>
      </w:pPr>
      <w:r>
        <w:t xml:space="preserve">4.7. наличие у руководителя и работников соискателя лицензии, которые непосредственно будут осуществлять лицензируемый вид деятельности, соответствующего </w:t>
      </w:r>
      <w:r>
        <w:lastRenderedPageBreak/>
        <w:t>допуска к сведениям, составляющим государственные секреты, – при осуществлении деятельности, связанной с использованием таких сведений.</w:t>
      </w:r>
    </w:p>
    <w:p w:rsidR="00D27A0D" w:rsidRDefault="00D27A0D">
      <w:pPr>
        <w:pStyle w:val="point"/>
      </w:pPr>
      <w:r>
        <w:t xml:space="preserve">5. При проведении оценки соответствия соискателя лицензии </w:t>
      </w:r>
      <w:proofErr w:type="spellStart"/>
      <w:r>
        <w:t>долицензионным</w:t>
      </w:r>
      <w:proofErr w:type="spellEnd"/>
      <w:r>
        <w:t xml:space="preserve"> требованиям для осуществления деятельности, связанной с разработкой и производством бланков и документов, помимо требований, указанных в пункте 4 настоящего Положения, устанавливаются:</w:t>
      </w:r>
    </w:p>
    <w:p w:rsidR="00D27A0D" w:rsidRDefault="00D27A0D">
      <w:pPr>
        <w:pStyle w:val="underpoint"/>
      </w:pPr>
      <w:r>
        <w:t>5.1. наличие возможности обеспечить специальный технологический процесс по разработке и производству бланков и документов;</w:t>
      </w:r>
    </w:p>
    <w:p w:rsidR="00D27A0D" w:rsidRDefault="00D27A0D">
      <w:pPr>
        <w:pStyle w:val="underpoint"/>
      </w:pPr>
      <w:r>
        <w:t>5.2. наличие специального оборудования, обеспечивающего производство бланков и документов с защитой их от подделки, и приборов по контролю подлинности бланков и документов;</w:t>
      </w:r>
    </w:p>
    <w:p w:rsidR="00D27A0D" w:rsidRDefault="00D27A0D">
      <w:pPr>
        <w:pStyle w:val="underpoint"/>
      </w:pPr>
      <w:r>
        <w:t>5.3. расположение оборудования, обеспечивающего законченный цикл разработки и производства бланков и документов, в помещениях (на площадях помещений), обособленных от помещений (площадей помещений), в которых изготавливается иная полиграфическая продукция;</w:t>
      </w:r>
    </w:p>
    <w:p w:rsidR="00D27A0D" w:rsidRDefault="00D27A0D">
      <w:pPr>
        <w:pStyle w:val="underpoint"/>
      </w:pPr>
      <w:r>
        <w:t>5.4. наличие на каждую операцию специального технологического процесса по разработке и производству бланков и документов в штате не менее одного специалиста, имеющего профессиональную подготовку, соответствующую профилю выполняемой работы, и стаж работы в области разработки и производства полиграфической продукции не менее пяти лет.</w:t>
      </w:r>
    </w:p>
    <w:p w:rsidR="00D27A0D" w:rsidRDefault="00D27A0D">
      <w:pPr>
        <w:pStyle w:val="point"/>
      </w:pPr>
      <w:r>
        <w:t xml:space="preserve">6. При проведении оценки соответствия соискателя лицензии </w:t>
      </w:r>
      <w:proofErr w:type="spellStart"/>
      <w:r>
        <w:t>долицензионным</w:t>
      </w:r>
      <w:proofErr w:type="spellEnd"/>
      <w:r>
        <w:t xml:space="preserve"> требованиям для осуществления деятельности, связанной с производством специальных материалов для защиты от подделки бланков и документов, помимо требований, указанных в пункте 4 настоящего Положения, устанавливаются:</w:t>
      </w:r>
    </w:p>
    <w:p w:rsidR="00D27A0D" w:rsidRDefault="00D27A0D">
      <w:pPr>
        <w:pStyle w:val="underpoint"/>
      </w:pPr>
      <w:r>
        <w:t>6.1. наличие возможности обеспечить специальный технологический процесс по производству специальных материалов для защиты от подделки бланков и документов;</w:t>
      </w:r>
    </w:p>
    <w:p w:rsidR="00D27A0D" w:rsidRDefault="00D27A0D">
      <w:pPr>
        <w:pStyle w:val="underpoint"/>
      </w:pPr>
      <w:r>
        <w:t>6.2. наличие специального оборудования, обеспечивающего производство специальных материалов для защиты от подделки бланков и документов, и приборов по контролю их подлинности;</w:t>
      </w:r>
    </w:p>
    <w:p w:rsidR="00D27A0D" w:rsidRDefault="00D27A0D">
      <w:pPr>
        <w:pStyle w:val="underpoint"/>
      </w:pPr>
      <w:r>
        <w:t>6.3. расположение оборудования, обеспечивающего законченный цикл производства специальных материалов для защиты от подделки бланков и документов, в помещениях (на площадях помещений), обособленных от помещений (площадей помещений), в которых изготавливается иная продукция.</w:t>
      </w:r>
    </w:p>
    <w:p w:rsidR="00D27A0D" w:rsidRDefault="00D27A0D">
      <w:pPr>
        <w:pStyle w:val="point"/>
      </w:pPr>
      <w:r>
        <w:t>7. При проведении оценки соответствия лицензиата лицензионным требованиям дополнительно к указанным в пунктах 4–6 настоящего Положения устанавливаются:</w:t>
      </w:r>
    </w:p>
    <w:p w:rsidR="00D27A0D" w:rsidRDefault="00D27A0D">
      <w:pPr>
        <w:pStyle w:val="underpoint"/>
      </w:pPr>
      <w:r>
        <w:t>7.1. создание системы по обеспечению выполнения требований, установленных нормативными правовыми актами, в том числе обязательных для соблюдения требований технических нормативных правовых актов, по разработке, производству, учету и хранению бланков и документов, а также специальных материалов для защиты их от подделки;</w:t>
      </w:r>
    </w:p>
    <w:p w:rsidR="00D27A0D" w:rsidRDefault="00D27A0D">
      <w:pPr>
        <w:pStyle w:val="underpoint"/>
      </w:pPr>
      <w:r>
        <w:t>7.2. приобретение оборудования для орловского, металлографского способов печати и нумерации бланков и документов на основании разрешения Министерства финансов;</w:t>
      </w:r>
    </w:p>
    <w:p w:rsidR="00D27A0D" w:rsidRDefault="00D27A0D">
      <w:pPr>
        <w:pStyle w:val="underpoint"/>
      </w:pPr>
      <w:r>
        <w:t>7.3. наличие режима охраны зданий, помещений, территорий, используемых для осуществления лицензируемого вида деятельности.</w:t>
      </w:r>
    </w:p>
    <w:p w:rsidR="00D27A0D" w:rsidRDefault="00D27A0D">
      <w:pPr>
        <w:pStyle w:val="point"/>
      </w:pPr>
      <w:r>
        <w:t>8. Оценка соответствия проводится по месту нахождения соискателя лицензии (лицензиата) и (или) помещений, которые будут использоваться (используются) соискателем лицензии (лицензиатом) для осуществления лицензируемого вида деятельности.</w:t>
      </w:r>
    </w:p>
    <w:p w:rsidR="00D27A0D" w:rsidRDefault="00D27A0D">
      <w:pPr>
        <w:pStyle w:val="point"/>
      </w:pPr>
      <w:r>
        <w:t>9. Оценка соответствия проводится посредством изучения и анализа сведений и документов:</w:t>
      </w:r>
    </w:p>
    <w:p w:rsidR="00D27A0D" w:rsidRDefault="00D27A0D">
      <w:pPr>
        <w:pStyle w:val="newncpi"/>
      </w:pPr>
      <w:r>
        <w:t>представленных соискателем лицензии (лицензиатом);</w:t>
      </w:r>
    </w:p>
    <w:p w:rsidR="00D27A0D" w:rsidRDefault="00D27A0D">
      <w:pPr>
        <w:pStyle w:val="newncpi"/>
      </w:pPr>
      <w:r>
        <w:t>имеющихся в Министерстве финансов;</w:t>
      </w:r>
    </w:p>
    <w:p w:rsidR="00D27A0D" w:rsidRDefault="00D27A0D">
      <w:pPr>
        <w:pStyle w:val="newncpi"/>
      </w:pPr>
      <w:r>
        <w:lastRenderedPageBreak/>
        <w:t>необходимых для проведения оценки соответствия соискателя лицензии, полученных у иных государственных органов и других организаций посредством способов, установленных в части первой пункта 3 статьи 20 Закона Республики Беларусь «О лицензировании».</w:t>
      </w:r>
    </w:p>
    <w:p w:rsidR="00D27A0D" w:rsidRDefault="00D27A0D">
      <w:pPr>
        <w:pStyle w:val="point"/>
      </w:pPr>
      <w:r>
        <w:t xml:space="preserve">10. По результатам оценки соответствия составляется заключение о соответствии или несоответствии возможностей соискателя лицензии </w:t>
      </w:r>
      <w:proofErr w:type="spellStart"/>
      <w:r>
        <w:t>долицензионным</w:t>
      </w:r>
      <w:proofErr w:type="spellEnd"/>
      <w:r>
        <w:t xml:space="preserve"> требованиям, лицензиата лицензионным требованиям, содержащее вывод о соответствии или несоответствии возможностей соискателя лицензии </w:t>
      </w:r>
      <w:proofErr w:type="spellStart"/>
      <w:r>
        <w:t>долицензионным</w:t>
      </w:r>
      <w:proofErr w:type="spellEnd"/>
      <w:r>
        <w:t xml:space="preserve"> требованиям, лицензиата лицензионным требованиям.</w:t>
      </w:r>
    </w:p>
    <w:p w:rsidR="00D27A0D" w:rsidRDefault="00D27A0D">
      <w:pPr>
        <w:pStyle w:val="newncpi"/>
      </w:pPr>
      <w:r>
        <w:t> </w:t>
      </w:r>
    </w:p>
    <w:p w:rsidR="000472C3" w:rsidRDefault="000472C3"/>
    <w:sectPr w:rsidR="000472C3" w:rsidSect="00D27A0D">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005A" w:rsidRDefault="00FC005A" w:rsidP="00D27A0D">
      <w:pPr>
        <w:spacing w:after="0" w:line="240" w:lineRule="auto"/>
      </w:pPr>
      <w:r>
        <w:separator/>
      </w:r>
    </w:p>
  </w:endnote>
  <w:endnote w:type="continuationSeparator" w:id="0">
    <w:p w:rsidR="00FC005A" w:rsidRDefault="00FC005A" w:rsidP="00D27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A0D" w:rsidRDefault="00D27A0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A0D" w:rsidRDefault="00D27A0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D27A0D" w:rsidTr="00D27A0D">
      <w:tc>
        <w:tcPr>
          <w:tcW w:w="1800" w:type="dxa"/>
          <w:shd w:val="clear" w:color="auto" w:fill="auto"/>
          <w:vAlign w:val="center"/>
        </w:tcPr>
        <w:p w:rsidR="00D27A0D" w:rsidRDefault="00D27A0D">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D27A0D" w:rsidRDefault="00D27A0D">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D27A0D" w:rsidRDefault="00D27A0D">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D27A0D" w:rsidRDefault="00D27A0D">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D27A0D" w:rsidRPr="00D27A0D" w:rsidRDefault="00D27A0D">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D27A0D" w:rsidRDefault="00D27A0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005A" w:rsidRDefault="00FC005A" w:rsidP="00D27A0D">
      <w:pPr>
        <w:spacing w:after="0" w:line="240" w:lineRule="auto"/>
      </w:pPr>
      <w:r>
        <w:separator/>
      </w:r>
    </w:p>
  </w:footnote>
  <w:footnote w:type="continuationSeparator" w:id="0">
    <w:p w:rsidR="00FC005A" w:rsidRDefault="00FC005A" w:rsidP="00D27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A0D" w:rsidRDefault="00D27A0D" w:rsidP="00435C48">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D27A0D" w:rsidRDefault="00D27A0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A0D" w:rsidRPr="00D27A0D" w:rsidRDefault="00D27A0D" w:rsidP="00435C48">
    <w:pPr>
      <w:pStyle w:val="a3"/>
      <w:framePr w:wrap="around" w:vAnchor="text" w:hAnchor="margin" w:xAlign="center" w:y="1"/>
      <w:rPr>
        <w:rStyle w:val="a7"/>
        <w:rFonts w:ascii="Times New Roman" w:hAnsi="Times New Roman" w:cs="Times New Roman"/>
        <w:sz w:val="24"/>
      </w:rPr>
    </w:pPr>
    <w:r w:rsidRPr="00D27A0D">
      <w:rPr>
        <w:rStyle w:val="a7"/>
        <w:rFonts w:ascii="Times New Roman" w:hAnsi="Times New Roman" w:cs="Times New Roman"/>
        <w:sz w:val="24"/>
      </w:rPr>
      <w:fldChar w:fldCharType="begin"/>
    </w:r>
    <w:r w:rsidRPr="00D27A0D">
      <w:rPr>
        <w:rStyle w:val="a7"/>
        <w:rFonts w:ascii="Times New Roman" w:hAnsi="Times New Roman" w:cs="Times New Roman"/>
        <w:sz w:val="24"/>
      </w:rPr>
      <w:instrText xml:space="preserve"> PAGE </w:instrText>
    </w:r>
    <w:r w:rsidRPr="00D27A0D">
      <w:rPr>
        <w:rStyle w:val="a7"/>
        <w:rFonts w:ascii="Times New Roman" w:hAnsi="Times New Roman" w:cs="Times New Roman"/>
        <w:sz w:val="24"/>
      </w:rPr>
      <w:fldChar w:fldCharType="separate"/>
    </w:r>
    <w:r w:rsidRPr="00D27A0D">
      <w:rPr>
        <w:rStyle w:val="a7"/>
        <w:rFonts w:ascii="Times New Roman" w:hAnsi="Times New Roman" w:cs="Times New Roman"/>
        <w:noProof/>
        <w:sz w:val="24"/>
      </w:rPr>
      <w:t>6</w:t>
    </w:r>
    <w:r w:rsidRPr="00D27A0D">
      <w:rPr>
        <w:rStyle w:val="a7"/>
        <w:rFonts w:ascii="Times New Roman" w:hAnsi="Times New Roman" w:cs="Times New Roman"/>
        <w:sz w:val="24"/>
      </w:rPr>
      <w:fldChar w:fldCharType="end"/>
    </w:r>
  </w:p>
  <w:p w:rsidR="00D27A0D" w:rsidRPr="00D27A0D" w:rsidRDefault="00D27A0D">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A0D" w:rsidRDefault="00D27A0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A0D"/>
    <w:rsid w:val="000472C3"/>
    <w:rsid w:val="005D4193"/>
    <w:rsid w:val="00D27A0D"/>
    <w:rsid w:val="00F82883"/>
    <w:rsid w:val="00FC0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AF4614-E13A-4173-9855-013CD215B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D27A0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gree">
    <w:name w:val="agree"/>
    <w:basedOn w:val="a"/>
    <w:rsid w:val="00D27A0D"/>
    <w:pPr>
      <w:spacing w:after="28" w:line="240" w:lineRule="auto"/>
    </w:pPr>
    <w:rPr>
      <w:rFonts w:ascii="Times New Roman" w:eastAsiaTheme="minorEastAsia" w:hAnsi="Times New Roman" w:cs="Times New Roman"/>
      <w:lang w:eastAsia="ru-RU"/>
    </w:rPr>
  </w:style>
  <w:style w:type="paragraph" w:customStyle="1" w:styleId="titleu">
    <w:name w:val="titleu"/>
    <w:basedOn w:val="a"/>
    <w:rsid w:val="00D27A0D"/>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D27A0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D27A0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D27A0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D27A0D"/>
    <w:pPr>
      <w:spacing w:after="0" w:line="240" w:lineRule="auto"/>
    </w:pPr>
    <w:rPr>
      <w:rFonts w:ascii="Times New Roman" w:eastAsiaTheme="minorEastAsia" w:hAnsi="Times New Roman" w:cs="Times New Roman"/>
      <w:sz w:val="20"/>
      <w:szCs w:val="20"/>
      <w:lang w:eastAsia="ru-RU"/>
    </w:rPr>
  </w:style>
  <w:style w:type="paragraph" w:customStyle="1" w:styleId="changeadd">
    <w:name w:val="changeadd"/>
    <w:basedOn w:val="a"/>
    <w:rsid w:val="00D27A0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D27A0D"/>
    <w:pPr>
      <w:spacing w:after="0" w:line="240" w:lineRule="auto"/>
      <w:ind w:left="1021"/>
    </w:pPr>
    <w:rPr>
      <w:rFonts w:ascii="Times New Roman" w:eastAsiaTheme="minorEastAsia" w:hAnsi="Times New Roman" w:cs="Times New Roman"/>
      <w:sz w:val="24"/>
      <w:szCs w:val="24"/>
      <w:lang w:eastAsia="ru-RU"/>
    </w:rPr>
  </w:style>
  <w:style w:type="paragraph" w:customStyle="1" w:styleId="cap1">
    <w:name w:val="cap1"/>
    <w:basedOn w:val="a"/>
    <w:rsid w:val="00D27A0D"/>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D27A0D"/>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D27A0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D27A0D"/>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D27A0D"/>
    <w:rPr>
      <w:rFonts w:ascii="Times New Roman" w:hAnsi="Times New Roman" w:cs="Times New Roman" w:hint="default"/>
      <w:caps/>
    </w:rPr>
  </w:style>
  <w:style w:type="character" w:customStyle="1" w:styleId="promulgator">
    <w:name w:val="promulgator"/>
    <w:basedOn w:val="a0"/>
    <w:rsid w:val="00D27A0D"/>
    <w:rPr>
      <w:rFonts w:ascii="Times New Roman" w:hAnsi="Times New Roman" w:cs="Times New Roman" w:hint="default"/>
      <w:caps/>
    </w:rPr>
  </w:style>
  <w:style w:type="character" w:customStyle="1" w:styleId="datepr">
    <w:name w:val="datepr"/>
    <w:basedOn w:val="a0"/>
    <w:rsid w:val="00D27A0D"/>
    <w:rPr>
      <w:rFonts w:ascii="Times New Roman" w:hAnsi="Times New Roman" w:cs="Times New Roman" w:hint="default"/>
    </w:rPr>
  </w:style>
  <w:style w:type="character" w:customStyle="1" w:styleId="number">
    <w:name w:val="number"/>
    <w:basedOn w:val="a0"/>
    <w:rsid w:val="00D27A0D"/>
    <w:rPr>
      <w:rFonts w:ascii="Times New Roman" w:hAnsi="Times New Roman" w:cs="Times New Roman" w:hint="default"/>
    </w:rPr>
  </w:style>
  <w:style w:type="character" w:customStyle="1" w:styleId="post">
    <w:name w:val="post"/>
    <w:basedOn w:val="a0"/>
    <w:rsid w:val="00D27A0D"/>
    <w:rPr>
      <w:rFonts w:ascii="Times New Roman" w:hAnsi="Times New Roman" w:cs="Times New Roman" w:hint="default"/>
      <w:b/>
      <w:bCs/>
      <w:sz w:val="22"/>
      <w:szCs w:val="22"/>
    </w:rPr>
  </w:style>
  <w:style w:type="character" w:customStyle="1" w:styleId="pers">
    <w:name w:val="pers"/>
    <w:basedOn w:val="a0"/>
    <w:rsid w:val="00D27A0D"/>
    <w:rPr>
      <w:rFonts w:ascii="Times New Roman" w:hAnsi="Times New Roman" w:cs="Times New Roman" w:hint="default"/>
      <w:b/>
      <w:bCs/>
      <w:sz w:val="22"/>
      <w:szCs w:val="22"/>
    </w:rPr>
  </w:style>
  <w:style w:type="paragraph" w:styleId="a3">
    <w:name w:val="header"/>
    <w:basedOn w:val="a"/>
    <w:link w:val="a4"/>
    <w:uiPriority w:val="99"/>
    <w:unhideWhenUsed/>
    <w:rsid w:val="00D27A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7A0D"/>
  </w:style>
  <w:style w:type="paragraph" w:styleId="a5">
    <w:name w:val="footer"/>
    <w:basedOn w:val="a"/>
    <w:link w:val="a6"/>
    <w:uiPriority w:val="99"/>
    <w:unhideWhenUsed/>
    <w:rsid w:val="00D27A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27A0D"/>
  </w:style>
  <w:style w:type="character" w:styleId="a7">
    <w:name w:val="page number"/>
    <w:basedOn w:val="a0"/>
    <w:uiPriority w:val="99"/>
    <w:semiHidden/>
    <w:unhideWhenUsed/>
    <w:rsid w:val="00D27A0D"/>
  </w:style>
  <w:style w:type="table" w:styleId="a8">
    <w:name w:val="Table Grid"/>
    <w:basedOn w:val="a1"/>
    <w:uiPriority w:val="39"/>
    <w:rsid w:val="00D27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1747</Words>
  <Characters>13662</Characters>
  <Application>Microsoft Office Word</Application>
  <DocSecurity>0</DocSecurity>
  <Lines>262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2</cp:revision>
  <dcterms:created xsi:type="dcterms:W3CDTF">2025-05-29T14:40:00Z</dcterms:created>
  <dcterms:modified xsi:type="dcterms:W3CDTF">2025-05-29T14:40:00Z</dcterms:modified>
</cp:coreProperties>
</file>